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12293034"/>
        <w:docPartObj>
          <w:docPartGallery w:val="Cover Pages"/>
          <w:docPartUnique/>
        </w:docPartObj>
      </w:sdtPr>
      <w:sdtEndPr>
        <w:rPr>
          <w:highlight w:val="yellow"/>
        </w:rPr>
      </w:sdtEndPr>
      <w:sdtContent>
        <w:p w14:paraId="72B2F1C1" w14:textId="77777777" w:rsidR="00ED4A0B" w:rsidRPr="007F7E40" w:rsidRDefault="00ED4A0B" w:rsidP="00427A94"/>
        <w:p w14:paraId="72B2F1C2" w14:textId="77777777" w:rsidR="006433BB" w:rsidRPr="007F7E40" w:rsidRDefault="006433BB" w:rsidP="00427A94"/>
        <w:tbl>
          <w:tblPr>
            <w:tblpPr w:leftFromText="187" w:rightFromText="187" w:vertAnchor="page" w:horzAnchor="margin" w:tblpXSpec="center" w:tblpY="3626"/>
            <w:tblW w:w="5000" w:type="pct"/>
            <w:tblLook w:val="04A0" w:firstRow="1" w:lastRow="0" w:firstColumn="1" w:lastColumn="0" w:noHBand="0" w:noVBand="1"/>
          </w:tblPr>
          <w:tblGrid>
            <w:gridCol w:w="9026"/>
          </w:tblGrid>
          <w:tr w:rsidR="007F7E40" w:rsidRPr="007F7E40" w14:paraId="72B2F1C4" w14:textId="77777777" w:rsidTr="00C505FF">
            <w:trPr>
              <w:trHeight w:val="15"/>
            </w:trPr>
            <w:tc>
              <w:tcPr>
                <w:tcW w:w="9072" w:type="dxa"/>
                <w:tcMar>
                  <w:top w:w="113" w:type="dxa"/>
                  <w:left w:w="113" w:type="dxa"/>
                  <w:bottom w:w="113" w:type="dxa"/>
                  <w:right w:w="113" w:type="dxa"/>
                </w:tcMar>
                <w:vAlign w:val="center"/>
              </w:tcPr>
              <w:sdt>
                <w:sdtPr>
                  <w:rPr>
                    <w:rFonts w:asciiTheme="majorHAnsi" w:eastAsiaTheme="majorEastAsia" w:hAnsiTheme="majorHAnsi" w:cstheme="majorBidi"/>
                    <w:b/>
                    <w:color w:val="1A3220"/>
                    <w:sz w:val="44"/>
                    <w:szCs w:val="44"/>
                    <w:lang w:val="en-IE"/>
                  </w:rPr>
                  <w:alias w:val="Title"/>
                  <w:id w:val="13406919"/>
                  <w:dataBinding w:prefixMappings="xmlns:ns0='http://schemas.openxmlformats.org/package/2006/metadata/core-properties' xmlns:ns1='http://purl.org/dc/elements/1.1/'" w:xpath="/ns0:coreProperties[1]/ns1:title[1]" w:storeItemID="{6C3C8BC8-F283-45AE-878A-BAB7291924A1}"/>
                  <w:text/>
                </w:sdtPr>
                <w:sdtEndPr/>
                <w:sdtContent>
                  <w:p w14:paraId="72B2F1C3" w14:textId="77777777" w:rsidR="00FC0EFA" w:rsidRPr="007F7E40" w:rsidRDefault="00E279F4" w:rsidP="00E279F4">
                    <w:pPr>
                      <w:pStyle w:val="NoSpacing"/>
                      <w:tabs>
                        <w:tab w:val="left" w:pos="1021"/>
                      </w:tabs>
                      <w:ind w:right="41"/>
                      <w:jc w:val="center"/>
                      <w:rPr>
                        <w:rFonts w:asciiTheme="majorHAnsi" w:eastAsiaTheme="majorEastAsia" w:hAnsiTheme="majorHAnsi" w:cstheme="majorBidi"/>
                        <w:sz w:val="44"/>
                        <w:szCs w:val="44"/>
                        <w:lang w:val="en-IE"/>
                      </w:rPr>
                    </w:pPr>
                    <w:r>
                      <w:rPr>
                        <w:rFonts w:asciiTheme="majorHAnsi" w:eastAsiaTheme="majorEastAsia" w:hAnsiTheme="majorHAnsi" w:cstheme="majorBidi"/>
                        <w:b/>
                        <w:color w:val="1A3220"/>
                        <w:sz w:val="44"/>
                        <w:szCs w:val="44"/>
                        <w:lang w:val="en-IE"/>
                      </w:rPr>
                      <w:t>Screening for Appropriate Assessment</w:t>
                    </w:r>
                  </w:p>
                </w:sdtContent>
              </w:sdt>
            </w:tc>
          </w:tr>
          <w:tr w:rsidR="007F7E40" w:rsidRPr="007F7E40" w14:paraId="72B2F1C8" w14:textId="77777777" w:rsidTr="00C505FF">
            <w:trPr>
              <w:trHeight w:val="966"/>
            </w:trPr>
            <w:tc>
              <w:tcPr>
                <w:tcW w:w="9072" w:type="dxa"/>
                <w:tcMar>
                  <w:top w:w="113" w:type="dxa"/>
                  <w:left w:w="113" w:type="dxa"/>
                  <w:bottom w:w="113" w:type="dxa"/>
                  <w:right w:w="113" w:type="dxa"/>
                </w:tcMar>
                <w:vAlign w:val="center"/>
              </w:tcPr>
              <w:p w14:paraId="707735C1" w14:textId="77777777" w:rsidR="00D1768C" w:rsidRDefault="00B979C6" w:rsidP="00B979C6">
                <w:pPr>
                  <w:pStyle w:val="NoSpacing"/>
                  <w:tabs>
                    <w:tab w:val="left" w:pos="1522"/>
                  </w:tabs>
                  <w:ind w:right="40"/>
                  <w:jc w:val="center"/>
                  <w:rPr>
                    <w:rFonts w:asciiTheme="majorHAnsi" w:eastAsiaTheme="majorEastAsia" w:hAnsiTheme="majorHAnsi" w:cstheme="majorBidi"/>
                    <w:sz w:val="44"/>
                    <w:szCs w:val="44"/>
                    <w:lang w:val="en-IE"/>
                  </w:rPr>
                </w:pPr>
                <w:r w:rsidRPr="00DA35C2">
                  <w:rPr>
                    <w:rFonts w:asciiTheme="majorHAnsi" w:eastAsiaTheme="majorEastAsia" w:hAnsiTheme="majorHAnsi" w:cstheme="majorBidi"/>
                    <w:sz w:val="44"/>
                    <w:szCs w:val="44"/>
                    <w:lang w:val="en-IE"/>
                  </w:rPr>
                  <w:t>Proposed Residential Development at</w:t>
                </w:r>
                <w:r w:rsidR="00D74346" w:rsidRPr="003558CB">
                  <w:rPr>
                    <w:rFonts w:asciiTheme="majorHAnsi" w:eastAsiaTheme="majorEastAsia" w:hAnsiTheme="majorHAnsi" w:cstheme="majorBidi"/>
                    <w:sz w:val="44"/>
                    <w:szCs w:val="44"/>
                    <w:lang w:val="en-IE"/>
                  </w:rPr>
                  <w:t xml:space="preserve"> </w:t>
                </w:r>
              </w:p>
              <w:p w14:paraId="72B2F1C6" w14:textId="5CC73275" w:rsidR="00CF2518" w:rsidRDefault="00D74346" w:rsidP="00B979C6">
                <w:pPr>
                  <w:pStyle w:val="NoSpacing"/>
                  <w:tabs>
                    <w:tab w:val="left" w:pos="1522"/>
                  </w:tabs>
                  <w:ind w:right="40"/>
                  <w:jc w:val="center"/>
                  <w:rPr>
                    <w:rFonts w:asciiTheme="majorHAnsi" w:eastAsiaTheme="majorEastAsia" w:hAnsiTheme="majorHAnsi" w:cstheme="majorBidi"/>
                    <w:sz w:val="44"/>
                    <w:szCs w:val="44"/>
                    <w:lang w:val="en-IE"/>
                  </w:rPr>
                </w:pPr>
                <w:r w:rsidRPr="003558CB">
                  <w:rPr>
                    <w:rFonts w:asciiTheme="majorHAnsi" w:eastAsiaTheme="majorEastAsia" w:hAnsiTheme="majorHAnsi" w:cstheme="majorBidi"/>
                    <w:sz w:val="44"/>
                    <w:szCs w:val="44"/>
                    <w:lang w:val="en-IE"/>
                  </w:rPr>
                  <w:t xml:space="preserve">Kishoge, </w:t>
                </w:r>
                <w:r w:rsidR="00037981">
                  <w:rPr>
                    <w:rFonts w:asciiTheme="majorHAnsi" w:eastAsiaTheme="majorEastAsia" w:hAnsiTheme="majorHAnsi" w:cstheme="majorBidi"/>
                    <w:sz w:val="44"/>
                    <w:szCs w:val="44"/>
                    <w:lang w:val="en-IE"/>
                  </w:rPr>
                  <w:t>Lucan</w:t>
                </w:r>
              </w:p>
              <w:p w14:paraId="72B2F1C7" w14:textId="7E419A6C" w:rsidR="007F7E40" w:rsidRPr="007F7E40" w:rsidRDefault="007F7E40" w:rsidP="00CF2518">
                <w:pPr>
                  <w:pStyle w:val="NoSpacing"/>
                  <w:tabs>
                    <w:tab w:val="left" w:pos="1522"/>
                  </w:tabs>
                  <w:spacing w:before="360"/>
                  <w:ind w:right="41"/>
                  <w:jc w:val="center"/>
                  <w:rPr>
                    <w:sz w:val="44"/>
                    <w:szCs w:val="44"/>
                    <w:lang w:val="en-IE"/>
                  </w:rPr>
                </w:pPr>
                <w:r w:rsidRPr="007F7E40">
                  <w:rPr>
                    <w:rFonts w:asciiTheme="majorHAnsi" w:eastAsiaTheme="majorEastAsia" w:hAnsiTheme="majorHAnsi" w:cstheme="majorBidi"/>
                    <w:sz w:val="44"/>
                    <w:szCs w:val="44"/>
                    <w:lang w:val="en-IE"/>
                  </w:rPr>
                  <w:fldChar w:fldCharType="begin"/>
                </w:r>
                <w:r w:rsidRPr="007F7E40">
                  <w:rPr>
                    <w:rFonts w:asciiTheme="majorHAnsi" w:eastAsiaTheme="majorEastAsia" w:hAnsiTheme="majorHAnsi" w:cstheme="majorBidi"/>
                    <w:sz w:val="44"/>
                    <w:szCs w:val="44"/>
                    <w:lang w:val="en-IE"/>
                  </w:rPr>
                  <w:instrText xml:space="preserve"> DATE \@ "dd MMMM yyyy" </w:instrText>
                </w:r>
                <w:r w:rsidRPr="007F7E40">
                  <w:rPr>
                    <w:rFonts w:asciiTheme="majorHAnsi" w:eastAsiaTheme="majorEastAsia" w:hAnsiTheme="majorHAnsi" w:cstheme="majorBidi"/>
                    <w:sz w:val="44"/>
                    <w:szCs w:val="44"/>
                    <w:lang w:val="en-IE"/>
                  </w:rPr>
                  <w:fldChar w:fldCharType="separate"/>
                </w:r>
                <w:r w:rsidR="00037981">
                  <w:rPr>
                    <w:rFonts w:asciiTheme="majorHAnsi" w:eastAsiaTheme="majorEastAsia" w:hAnsiTheme="majorHAnsi" w:cstheme="majorBidi"/>
                    <w:noProof/>
                    <w:sz w:val="44"/>
                    <w:szCs w:val="44"/>
                    <w:lang w:val="en-IE"/>
                  </w:rPr>
                  <w:t>26 March 2024</w:t>
                </w:r>
                <w:r w:rsidRPr="007F7E40">
                  <w:rPr>
                    <w:rFonts w:asciiTheme="majorHAnsi" w:eastAsiaTheme="majorEastAsia" w:hAnsiTheme="majorHAnsi" w:cstheme="majorBidi"/>
                    <w:sz w:val="44"/>
                    <w:szCs w:val="44"/>
                    <w:lang w:val="en-IE"/>
                  </w:rPr>
                  <w:fldChar w:fldCharType="end"/>
                </w:r>
              </w:p>
            </w:tc>
          </w:tr>
          <w:tr w:rsidR="007F7E40" w:rsidRPr="007F7E40" w14:paraId="72B2F1CA" w14:textId="77777777" w:rsidTr="00C505FF">
            <w:trPr>
              <w:trHeight w:val="15"/>
            </w:trPr>
            <w:tc>
              <w:tcPr>
                <w:tcW w:w="9072" w:type="dxa"/>
                <w:tcMar>
                  <w:top w:w="113" w:type="dxa"/>
                  <w:left w:w="113" w:type="dxa"/>
                  <w:bottom w:w="113" w:type="dxa"/>
                  <w:right w:w="113" w:type="dxa"/>
                </w:tcMar>
              </w:tcPr>
              <w:p w14:paraId="72B2F1C9" w14:textId="77777777" w:rsidR="00FC0EFA" w:rsidRPr="007F7E40" w:rsidRDefault="00FC0EFA" w:rsidP="00CF2518">
                <w:pPr>
                  <w:pStyle w:val="NoSpacing"/>
                  <w:ind w:right="41"/>
                  <w:rPr>
                    <w:sz w:val="36"/>
                    <w:szCs w:val="36"/>
                    <w:lang w:val="en-IE"/>
                  </w:rPr>
                </w:pPr>
              </w:p>
            </w:tc>
          </w:tr>
        </w:tbl>
        <w:p w14:paraId="72B2F1CB" w14:textId="77777777" w:rsidR="006433BB" w:rsidRPr="007F7E40" w:rsidRDefault="006433BB" w:rsidP="00427A94"/>
        <w:p w14:paraId="72B2F1CC" w14:textId="77777777" w:rsidR="003A444A" w:rsidRPr="007F7E40" w:rsidRDefault="003A444A" w:rsidP="00427A94"/>
        <w:p w14:paraId="72B2F1CD" w14:textId="77777777" w:rsidR="003A444A" w:rsidRPr="007F7E40" w:rsidRDefault="003A444A" w:rsidP="00427A94"/>
        <w:p w14:paraId="72B2F1CE" w14:textId="77777777" w:rsidR="00BC1D5B" w:rsidRPr="007F7E40" w:rsidRDefault="00BC1D5B" w:rsidP="00427A94"/>
        <w:p w14:paraId="72B2F1CF" w14:textId="77777777" w:rsidR="00BC1D5B" w:rsidRPr="007F7E40" w:rsidRDefault="00BC1D5B" w:rsidP="00427A94"/>
        <w:p w14:paraId="72B2F1D0" w14:textId="77777777" w:rsidR="00BC1D5B" w:rsidRPr="007F7E40" w:rsidRDefault="00BC1D5B" w:rsidP="00427A94"/>
        <w:p w14:paraId="72B2F1D1" w14:textId="77777777" w:rsidR="00C04506" w:rsidRPr="00A86459" w:rsidRDefault="00785777" w:rsidP="00427A94">
          <w:pPr>
            <w:rPr>
              <w:sz w:val="28"/>
              <w:szCs w:val="28"/>
              <w:u w:val="single"/>
            </w:rPr>
          </w:pPr>
        </w:p>
      </w:sdtContent>
    </w:sdt>
    <w:tbl>
      <w:tblPr>
        <w:tblpPr w:leftFromText="187" w:rightFromText="187" w:vertAnchor="page" w:horzAnchor="margin" w:tblpXSpec="center" w:tblpY="11036"/>
        <w:tblW w:w="2121" w:type="pct"/>
        <w:tblLook w:val="04A0" w:firstRow="1" w:lastRow="0" w:firstColumn="1" w:lastColumn="0" w:noHBand="0" w:noVBand="1"/>
      </w:tblPr>
      <w:tblGrid>
        <w:gridCol w:w="3829"/>
      </w:tblGrid>
      <w:tr w:rsidR="00DD443D" w:rsidRPr="007F7E40" w14:paraId="72B2F1D8" w14:textId="77777777" w:rsidTr="00DD443D">
        <w:trPr>
          <w:trHeight w:val="1431"/>
        </w:trPr>
        <w:tc>
          <w:tcPr>
            <w:tcW w:w="3829" w:type="dxa"/>
            <w:tcMar>
              <w:top w:w="216" w:type="dxa"/>
              <w:left w:w="115" w:type="dxa"/>
              <w:bottom w:w="216" w:type="dxa"/>
              <w:right w:w="115" w:type="dxa"/>
            </w:tcMar>
          </w:tcPr>
          <w:p w14:paraId="72B2F1D2" w14:textId="77777777" w:rsidR="00DD443D" w:rsidRPr="007F7E40" w:rsidRDefault="00DD443D" w:rsidP="00DD443D">
            <w:pPr>
              <w:pStyle w:val="NoSpacing"/>
              <w:rPr>
                <w:b/>
                <w:lang w:val="en-IE"/>
              </w:rPr>
            </w:pPr>
            <w:r>
              <w:rPr>
                <w:noProof/>
                <w:lang w:val="en-IE" w:eastAsia="en-IE"/>
              </w:rPr>
              <w:drawing>
                <wp:anchor distT="0" distB="0" distL="114300" distR="114300" simplePos="0" relativeHeight="251659264" behindDoc="1" locked="0" layoutInCell="1" allowOverlap="1" wp14:anchorId="72B2F243" wp14:editId="72B2F244">
                  <wp:simplePos x="0" y="0"/>
                  <wp:positionH relativeFrom="margin">
                    <wp:posOffset>166370</wp:posOffset>
                  </wp:positionH>
                  <wp:positionV relativeFrom="paragraph">
                    <wp:posOffset>517</wp:posOffset>
                  </wp:positionV>
                  <wp:extent cx="1957705" cy="723900"/>
                  <wp:effectExtent l="0" t="0" r="4445" b="0"/>
                  <wp:wrapTight wrapText="bothSides">
                    <wp:wrapPolygon edited="0">
                      <wp:start x="5255" y="0"/>
                      <wp:lineTo x="5044" y="0"/>
                      <wp:lineTo x="0" y="13642"/>
                      <wp:lineTo x="0" y="21032"/>
                      <wp:lineTo x="21018" y="21032"/>
                      <wp:lineTo x="21439" y="14779"/>
                      <wp:lineTo x="21439" y="13642"/>
                      <wp:lineTo x="17235" y="0"/>
                      <wp:lineTo x="5255"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2Png - comp.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57705" cy="723900"/>
                          </a:xfrm>
                          <a:prstGeom prst="rect">
                            <a:avLst/>
                          </a:prstGeom>
                        </pic:spPr>
                      </pic:pic>
                    </a:graphicData>
                  </a:graphic>
                  <wp14:sizeRelH relativeFrom="page">
                    <wp14:pctWidth>0</wp14:pctWidth>
                  </wp14:sizeRelH>
                  <wp14:sizeRelV relativeFrom="page">
                    <wp14:pctHeight>0</wp14:pctHeight>
                  </wp14:sizeRelV>
                </wp:anchor>
              </w:drawing>
            </w:r>
          </w:p>
          <w:p w14:paraId="72B2F1D3" w14:textId="77777777" w:rsidR="00DD443D" w:rsidRPr="007F7E40" w:rsidRDefault="00DD443D" w:rsidP="00DD443D">
            <w:pPr>
              <w:pStyle w:val="NoSpacing"/>
              <w:jc w:val="center"/>
              <w:rPr>
                <w:b/>
                <w:lang w:val="en-IE"/>
              </w:rPr>
            </w:pPr>
            <w:r>
              <w:rPr>
                <w:b/>
                <w:lang w:val="en-IE"/>
              </w:rPr>
              <w:t xml:space="preserve">NM Ecology Ltd - </w:t>
            </w:r>
            <w:r w:rsidRPr="007F7E40">
              <w:rPr>
                <w:b/>
                <w:lang w:val="en-IE"/>
              </w:rPr>
              <w:t>Consultant Ecologist</w:t>
            </w:r>
            <w:r>
              <w:rPr>
                <w:b/>
                <w:lang w:val="en-IE"/>
              </w:rPr>
              <w:t>s</w:t>
            </w:r>
          </w:p>
          <w:p w14:paraId="72B2F1D4" w14:textId="2070FD9F" w:rsidR="00DD443D" w:rsidRDefault="00F90F7C" w:rsidP="00DD443D">
            <w:pPr>
              <w:pStyle w:val="NoSpacing"/>
              <w:jc w:val="center"/>
              <w:rPr>
                <w:lang w:val="en-IE"/>
              </w:rPr>
            </w:pPr>
            <w:r>
              <w:rPr>
                <w:lang w:val="en-IE"/>
              </w:rPr>
              <w:t>38 Maywood Avenue, Raheny, Dublin 5</w:t>
            </w:r>
          </w:p>
          <w:p w14:paraId="72B2F1D5" w14:textId="77777777" w:rsidR="00112927" w:rsidRPr="007F7E40" w:rsidRDefault="00112927" w:rsidP="00DD443D">
            <w:pPr>
              <w:pStyle w:val="NoSpacing"/>
              <w:jc w:val="center"/>
              <w:rPr>
                <w:lang w:val="en-IE"/>
              </w:rPr>
            </w:pPr>
            <w:r>
              <w:rPr>
                <w:lang w:val="en-IE"/>
              </w:rPr>
              <w:t xml:space="preserve">Website: </w:t>
            </w:r>
            <w:r w:rsidRPr="00112927">
              <w:rPr>
                <w:u w:val="single"/>
                <w:lang w:val="en-IE"/>
              </w:rPr>
              <w:t>www.nmecology.com</w:t>
            </w:r>
          </w:p>
          <w:p w14:paraId="72B2F1D6" w14:textId="77777777" w:rsidR="00DD443D" w:rsidRPr="00CF2518" w:rsidRDefault="00DD443D" w:rsidP="00DD443D">
            <w:pPr>
              <w:pStyle w:val="NoSpacing"/>
              <w:jc w:val="center"/>
              <w:rPr>
                <w:lang w:val="en-IE"/>
              </w:rPr>
            </w:pPr>
            <w:r w:rsidRPr="007F7E40">
              <w:rPr>
                <w:lang w:val="en-IE"/>
              </w:rPr>
              <w:t xml:space="preserve">Email: </w:t>
            </w:r>
            <w:hyperlink r:id="rId10" w:history="1">
              <w:r w:rsidRPr="00CF2518">
                <w:rPr>
                  <w:rStyle w:val="Hyperlink"/>
                  <w:color w:val="auto"/>
                  <w:lang w:val="en-IE"/>
                </w:rPr>
                <w:t>info@nmecology.com</w:t>
              </w:r>
            </w:hyperlink>
          </w:p>
          <w:p w14:paraId="72B2F1D7" w14:textId="77777777" w:rsidR="00DD443D" w:rsidRPr="007F7E40" w:rsidRDefault="00DD443D" w:rsidP="00DD443D">
            <w:pPr>
              <w:pStyle w:val="NoSpacing"/>
              <w:jc w:val="center"/>
              <w:rPr>
                <w:lang w:val="en-IE"/>
              </w:rPr>
            </w:pPr>
            <w:r w:rsidRPr="00CF2518">
              <w:rPr>
                <w:lang w:val="en-IE"/>
              </w:rPr>
              <w:t>Tel: 087-6839771</w:t>
            </w:r>
          </w:p>
        </w:tc>
      </w:tr>
    </w:tbl>
    <w:sdt>
      <w:sdtPr>
        <w:rPr>
          <w:b/>
        </w:rPr>
        <w:id w:val="1594273893"/>
        <w:docPartObj>
          <w:docPartGallery w:val="Cover Pages"/>
          <w:docPartUnique/>
        </w:docPartObj>
      </w:sdtPr>
      <w:sdtEndPr>
        <w:rPr>
          <w:b w:val="0"/>
          <w:highlight w:val="yellow"/>
        </w:rPr>
      </w:sdtEndPr>
      <w:sdtContent>
        <w:bookmarkStart w:id="0" w:name="_Toc372299568" w:displacedByCustomXml="prev"/>
        <w:p w14:paraId="72B2F1D9" w14:textId="77777777" w:rsidR="00A86459" w:rsidRPr="00A86459" w:rsidRDefault="00A86459" w:rsidP="00427A94"/>
        <w:p w14:paraId="72B2F1DA" w14:textId="77777777" w:rsidR="00A86459" w:rsidRDefault="00A86459" w:rsidP="00427A94">
          <w:r>
            <w:br w:type="page"/>
          </w:r>
        </w:p>
        <w:p w14:paraId="72B2F1DB" w14:textId="77777777" w:rsidR="00A86459" w:rsidRPr="00427A94" w:rsidRDefault="00A86459" w:rsidP="001F4D4E">
          <w:pPr>
            <w:pStyle w:val="TOCHeading"/>
          </w:pPr>
          <w:r w:rsidRPr="00427A94">
            <w:lastRenderedPageBreak/>
            <w:t>Executive Summary</w:t>
          </w:r>
          <w:bookmarkEnd w:id="0"/>
        </w:p>
        <w:p w14:paraId="5D762322" w14:textId="33C64CF0" w:rsidR="00ED1BD2" w:rsidRPr="002C3A79" w:rsidRDefault="00FB177F" w:rsidP="00AA57DD">
          <w:r w:rsidRPr="00D456CA">
            <w:t xml:space="preserve">This </w:t>
          </w:r>
          <w:r w:rsidRPr="00D456CA">
            <w:rPr>
              <w:i/>
            </w:rPr>
            <w:t>Screening for Appropriate Assessment</w:t>
          </w:r>
          <w:r w:rsidRPr="00D456CA">
            <w:t xml:space="preserve"> report </w:t>
          </w:r>
          <w:r w:rsidR="00C12BF7" w:rsidRPr="003558CB">
            <w:t xml:space="preserve">has been prepared by NM Ecology Ltd </w:t>
          </w:r>
          <w:r w:rsidR="00B4310E" w:rsidRPr="001317EC">
            <w:t xml:space="preserve">on behalf of </w:t>
          </w:r>
          <w:r w:rsidR="00B4310E" w:rsidRPr="003558CB">
            <w:t xml:space="preserve">South Dublin County Council regarding a proposed residential development at Kishogue, </w:t>
          </w:r>
          <w:r w:rsidR="00B4310E">
            <w:t>Lucan</w:t>
          </w:r>
          <w:r w:rsidR="00B4310E" w:rsidRPr="003558CB">
            <w:t>, Dublin 22</w:t>
          </w:r>
          <w:r w:rsidR="00B4310E" w:rsidRPr="001317EC">
            <w:t xml:space="preserve">. The proposed development will involve the construction of </w:t>
          </w:r>
          <w:r w:rsidR="00B4310E">
            <w:t xml:space="preserve">118 </w:t>
          </w:r>
          <w:r w:rsidR="00B4310E" w:rsidRPr="001317EC">
            <w:t>dwellings</w:t>
          </w:r>
          <w:r w:rsidR="00B4310E">
            <w:t xml:space="preserve"> (a mixture of apartments and terraced houses) </w:t>
          </w:r>
          <w:r w:rsidR="00B4310E" w:rsidRPr="001317EC">
            <w:t>and associated works</w:t>
          </w:r>
          <w:r w:rsidR="00A21524" w:rsidRPr="003A2E37">
            <w:t>.</w:t>
          </w:r>
          <w:r w:rsidR="00047919" w:rsidRPr="002C3A79">
            <w:t xml:space="preserve"> </w:t>
          </w:r>
        </w:p>
        <w:p w14:paraId="1C2A1199" w14:textId="32A47771" w:rsidR="00477A76" w:rsidRPr="00AF62C3" w:rsidRDefault="00477A76" w:rsidP="00520DC1">
          <w:r w:rsidRPr="00AF62C3">
            <w:t xml:space="preserve">In accordance with their obligations under the </w:t>
          </w:r>
          <w:r w:rsidRPr="00AF62C3">
            <w:rPr>
              <w:i/>
              <w:iCs/>
            </w:rPr>
            <w:t>European Communities (Birds and Natural Habitats) Regulations</w:t>
          </w:r>
          <w:r w:rsidRPr="00AF62C3">
            <w:t xml:space="preserve"> 2011 (SI 477/2011), </w:t>
          </w:r>
          <w:r w:rsidR="0090040B" w:rsidRPr="00AF62C3">
            <w:t xml:space="preserve">the competent authority </w:t>
          </w:r>
          <w:r w:rsidRPr="00AF62C3">
            <w:t xml:space="preserve">must assess whether the </w:t>
          </w:r>
          <w:r w:rsidR="005C7306" w:rsidRPr="00AF62C3">
            <w:t>proposed</w:t>
          </w:r>
          <w:r w:rsidRPr="00AF62C3">
            <w:t xml:space="preserve"> development could have ‘likely significant effects’ on any </w:t>
          </w:r>
          <w:r w:rsidR="00167573" w:rsidRPr="00AF62C3">
            <w:t>European</w:t>
          </w:r>
          <w:r w:rsidRPr="00AF62C3">
            <w:t xml:space="preserve"> sites. This document provides information to </w:t>
          </w:r>
          <w:r w:rsidR="00497563">
            <w:t xml:space="preserve">support </w:t>
          </w:r>
          <w:r w:rsidRPr="00AF62C3">
            <w:t xml:space="preserve">an Appropriate Assessment screening exercise, including: a description of the proposed development, a map and list of </w:t>
          </w:r>
          <w:r w:rsidR="00167573" w:rsidRPr="00AF62C3">
            <w:t>European</w:t>
          </w:r>
          <w:r w:rsidRPr="00AF62C3">
            <w:t xml:space="preserve"> sites </w:t>
          </w:r>
          <w:r w:rsidR="001F2986">
            <w:t>in the surrounding area</w:t>
          </w:r>
          <w:r w:rsidRPr="00AF62C3">
            <w:t xml:space="preserve">, </w:t>
          </w:r>
          <w:r w:rsidR="00570CC3" w:rsidRPr="00AF62C3">
            <w:t>a review</w:t>
          </w:r>
          <w:r w:rsidRPr="00AF62C3">
            <w:t xml:space="preserve"> of potential source-pathway-receptor links</w:t>
          </w:r>
          <w:r w:rsidR="00F671D0">
            <w:t>, an appraisal of the suitability of the habitats for birds associated with nearby SPAs</w:t>
          </w:r>
          <w:r w:rsidR="00842CB1">
            <w:t>, and a screening conclusion.</w:t>
          </w:r>
        </w:p>
        <w:p w14:paraId="6F199D4A" w14:textId="1A8848FB" w:rsidR="00C70B03" w:rsidRDefault="00477A76" w:rsidP="00520DC1">
          <w:r w:rsidRPr="00AF7396">
            <w:t xml:space="preserve">There is no risk of direct impacts on </w:t>
          </w:r>
          <w:r w:rsidR="00167573" w:rsidRPr="00AF7396">
            <w:t>European</w:t>
          </w:r>
          <w:r w:rsidRPr="00AF7396">
            <w:t xml:space="preserve"> sites. Potential pathways for indirect impacts were considered, but none were found to be feasible. </w:t>
          </w:r>
          <w:r w:rsidR="005C6839" w:rsidRPr="00AF7396">
            <w:t>Habitats within the site are unsuitable for any of the species associated with nearby SPAs.</w:t>
          </w:r>
          <w:r w:rsidR="00C70B03" w:rsidRPr="00AF7396">
            <w:t xml:space="preserve"> Therefore, with regard to Article 42 (7) of the </w:t>
          </w:r>
          <w:r w:rsidR="00C70B03" w:rsidRPr="00AF7396">
            <w:rPr>
              <w:i/>
              <w:iCs/>
            </w:rPr>
            <w:t>European Communities (Birds and Natural Habitats) Regulations</w:t>
          </w:r>
          <w:r w:rsidR="00C70B03" w:rsidRPr="00AF7396">
            <w:t xml:space="preserve"> 2011, it can be </w:t>
          </w:r>
          <w:r w:rsidR="00782BD7">
            <w:t xml:space="preserve">concluded that </w:t>
          </w:r>
          <w:r w:rsidR="00782BD7" w:rsidRPr="00E211ED">
            <w:t xml:space="preserve">the proposed development </w:t>
          </w:r>
          <w:r w:rsidR="00782BD7" w:rsidRPr="00182EC6">
            <w:rPr>
              <w:u w:val="single"/>
            </w:rPr>
            <w:t>will not be likely to have a significant effect</w:t>
          </w:r>
          <w:r w:rsidR="00782BD7" w:rsidRPr="00E211ED">
            <w:t xml:space="preserve"> on a</w:t>
          </w:r>
          <w:r w:rsidR="00E211ED" w:rsidRPr="00E211ED">
            <w:t>ny</w:t>
          </w:r>
          <w:r w:rsidR="00782BD7" w:rsidRPr="00E211ED">
            <w:t xml:space="preserve"> European site</w:t>
          </w:r>
          <w:r w:rsidR="00E211ED" w:rsidRPr="00E211ED">
            <w:t>s</w:t>
          </w:r>
          <w:r w:rsidR="00416F66">
            <w:t>.</w:t>
          </w:r>
          <w:r w:rsidR="00C70B03" w:rsidRPr="00AF7396">
            <w:t xml:space="preserve"> </w:t>
          </w:r>
          <w:r w:rsidR="00372093">
            <w:t>T</w:t>
          </w:r>
          <w:r w:rsidR="00C70B03" w:rsidRPr="00AF7396">
            <w:t>he assessment can conclude at Stage 1 of the Appropriate Assessment process, and it is not necessary to proceed to Stage 2.</w:t>
          </w:r>
        </w:p>
        <w:p w14:paraId="72B2F1DE" w14:textId="77777777" w:rsidR="006C4655" w:rsidRDefault="006C4655" w:rsidP="00BE57F2">
          <w:pPr>
            <w:ind w:left="0"/>
          </w:pPr>
        </w:p>
        <w:p w14:paraId="72B2F1DF" w14:textId="77777777" w:rsidR="00427A94" w:rsidRPr="00E279F4" w:rsidRDefault="006C4655" w:rsidP="00E279F4">
          <w:pPr>
            <w:spacing w:after="200" w:line="276" w:lineRule="auto"/>
            <w:ind w:left="0"/>
            <w:jc w:val="left"/>
            <w:rPr>
              <w:rFonts w:eastAsiaTheme="majorEastAsia" w:cstheme="majorBidi"/>
              <w:b/>
              <w:bCs/>
              <w:sz w:val="24"/>
              <w:szCs w:val="28"/>
              <w:lang w:val="en-US" w:eastAsia="ja-JP"/>
            </w:rPr>
          </w:pPr>
          <w:r>
            <w:br w:type="page"/>
          </w:r>
        </w:p>
      </w:sdtContent>
    </w:sdt>
    <w:bookmarkStart w:id="1" w:name="_Toc372299569" w:displacedByCustomXml="prev"/>
    <w:bookmarkStart w:id="2" w:name="_Toc368905039" w:displacedByCustomXml="prev"/>
    <w:p w14:paraId="72B2F1E0" w14:textId="77777777" w:rsidR="00A86459" w:rsidRPr="003E3E14" w:rsidRDefault="00A86459" w:rsidP="003E3E14">
      <w:pPr>
        <w:pStyle w:val="Heading1"/>
      </w:pPr>
      <w:bookmarkStart w:id="3" w:name="_Toc417546094"/>
      <w:r w:rsidRPr="003E3E14">
        <w:lastRenderedPageBreak/>
        <w:t>Introduction</w:t>
      </w:r>
      <w:bookmarkEnd w:id="3"/>
      <w:bookmarkEnd w:id="2"/>
      <w:bookmarkEnd w:id="1"/>
    </w:p>
    <w:p w14:paraId="72B2F1E1" w14:textId="77777777" w:rsidR="00A86459" w:rsidRPr="00A86459" w:rsidRDefault="00A86459" w:rsidP="00A86459">
      <w:pPr>
        <w:pStyle w:val="Heading2"/>
      </w:pPr>
      <w:bookmarkStart w:id="4" w:name="_Toc417546096"/>
      <w:r w:rsidRPr="00A86459">
        <w:t>Background to Appropriate Assessment</w:t>
      </w:r>
      <w:bookmarkEnd w:id="4"/>
    </w:p>
    <w:p w14:paraId="6DA0D536" w14:textId="57297B3C" w:rsidR="00267FE0" w:rsidRDefault="00267FE0" w:rsidP="00267FE0">
      <w:r>
        <w:t>Approximately 1</w:t>
      </w:r>
      <w:r w:rsidR="00D92341">
        <w:t>4</w:t>
      </w:r>
      <w:r>
        <w:t>% of the land area of Ireland is included in the European Network of Natura 2000 sites</w:t>
      </w:r>
      <w:r w:rsidR="00167573">
        <w:t xml:space="preserve"> (hereafter referred to as European sites)</w:t>
      </w:r>
      <w:r>
        <w:t xml:space="preserve">, which includes Special Protection Areas (SPAs) to protect important areas for birds, and Special Areas of Conservation (SACs) to protect a range of habitats and species. Legislative protection for these sites is provided by the </w:t>
      </w:r>
      <w:r w:rsidRPr="006A4000">
        <w:rPr>
          <w:i/>
        </w:rPr>
        <w:t>European Council Birds Directive</w:t>
      </w:r>
      <w:r>
        <w:t xml:space="preserve"> (79/409/EEC) and </w:t>
      </w:r>
      <w:r w:rsidRPr="006A4000">
        <w:rPr>
          <w:i/>
        </w:rPr>
        <w:t>E.C.</w:t>
      </w:r>
      <w:r>
        <w:t xml:space="preserve"> </w:t>
      </w:r>
      <w:r w:rsidRPr="006A4000">
        <w:rPr>
          <w:i/>
        </w:rPr>
        <w:t>Habitats Directive</w:t>
      </w:r>
      <w:r>
        <w:t xml:space="preserve"> (92/43/EEC, as amended), which are jointly transposed into Irish law by the </w:t>
      </w:r>
      <w:r w:rsidRPr="006A4000">
        <w:rPr>
          <w:i/>
        </w:rPr>
        <w:t>European Communities (Birds and Natural Habitats) Regulations 2011</w:t>
      </w:r>
      <w:r>
        <w:t xml:space="preserve"> (SI 477/2011, as amended).</w:t>
      </w:r>
    </w:p>
    <w:p w14:paraId="4E20656A" w14:textId="1C46E4C5" w:rsidR="00267FE0" w:rsidRDefault="00267FE0" w:rsidP="00267FE0">
      <w:r>
        <w:t>Regulation 42 (1) states that: “</w:t>
      </w:r>
      <w:r w:rsidRPr="00687FC4">
        <w:rPr>
          <w:i/>
        </w:rPr>
        <w:t>Screening for Appropriate Assessment of a plan or project for which an application for consent is received</w:t>
      </w:r>
      <w:r w:rsidRPr="008B7707">
        <w:t xml:space="preserve"> […] </w:t>
      </w:r>
      <w:r w:rsidRPr="00687FC4">
        <w:rPr>
          <w:i/>
        </w:rPr>
        <w:t xml:space="preserve">shall be carried out by the public authority to assess, in view of best scientific knowledge and in view of the conservation objectives of the site, if that plan or project, individually or in combination with other plans or projects is likely to have a significant effect on </w:t>
      </w:r>
      <w:r w:rsidRPr="00B20535">
        <w:t xml:space="preserve">[any </w:t>
      </w:r>
      <w:r w:rsidR="00167573">
        <w:t>European</w:t>
      </w:r>
      <w:r w:rsidRPr="00B20535">
        <w:t xml:space="preserve"> sites]</w:t>
      </w:r>
      <w:r>
        <w:t>.” To ensure compliance with this regulation,</w:t>
      </w:r>
      <w:r w:rsidRPr="00A86459">
        <w:t xml:space="preserve"> planning authorities must </w:t>
      </w:r>
      <w:r>
        <w:t xml:space="preserve">screen all planning applications for potential impacts </w:t>
      </w:r>
      <w:r w:rsidRPr="00A86459">
        <w:t xml:space="preserve">on </w:t>
      </w:r>
      <w:r w:rsidR="00167573">
        <w:t>European</w:t>
      </w:r>
      <w:r>
        <w:t xml:space="preserve"> sites. Supporting information may be requested from the applicant to assist with this process.</w:t>
      </w:r>
    </w:p>
    <w:p w14:paraId="72B2F1E4" w14:textId="7C8CFA5E" w:rsidR="00824355" w:rsidRDefault="00267FE0" w:rsidP="00267FE0">
      <w:r>
        <w:t xml:space="preserve">This document provides information to </w:t>
      </w:r>
      <w:r w:rsidR="00505534">
        <w:t>support</w:t>
      </w:r>
      <w:r>
        <w:t xml:space="preserve"> the </w:t>
      </w:r>
      <w:r w:rsidR="006703E8">
        <w:t>competent</w:t>
      </w:r>
      <w:r>
        <w:t xml:space="preserve"> authority</w:t>
      </w:r>
      <w:r w:rsidR="00505534">
        <w:t>’s</w:t>
      </w:r>
      <w:r>
        <w:t xml:space="preserve"> </w:t>
      </w:r>
      <w:r w:rsidRPr="00932A0D">
        <w:rPr>
          <w:i/>
        </w:rPr>
        <w:t>Screening for Appropriate Assessment</w:t>
      </w:r>
      <w:r>
        <w:t xml:space="preserve"> exercise for the proposed development. It includes </w:t>
      </w:r>
      <w:r w:rsidR="008B04EC" w:rsidRPr="00AF62C3">
        <w:t xml:space="preserve">a description of the proposed development, a map and list of European sites </w:t>
      </w:r>
      <w:r w:rsidR="008B04EC">
        <w:t>in the surrounding area</w:t>
      </w:r>
      <w:r w:rsidR="008B04EC" w:rsidRPr="00AF62C3">
        <w:t>, a review of potential source-pathway-receptor links</w:t>
      </w:r>
      <w:r w:rsidR="008B04EC">
        <w:t>, and an appraisal of the suitability of the habitats for birds associated with nearby SPAs</w:t>
      </w:r>
      <w:r w:rsidR="00824355">
        <w:t xml:space="preserve">. </w:t>
      </w:r>
    </w:p>
    <w:p w14:paraId="72B2F1E5" w14:textId="77777777" w:rsidR="00DD4552" w:rsidRPr="00A86459" w:rsidRDefault="00DD4552" w:rsidP="00DD4552">
      <w:pPr>
        <w:pStyle w:val="Heading2"/>
      </w:pPr>
      <w:bookmarkStart w:id="5" w:name="_Toc417546095"/>
      <w:r w:rsidRPr="00A86459">
        <w:t xml:space="preserve">Statement of </w:t>
      </w:r>
      <w:r>
        <w:t>a</w:t>
      </w:r>
      <w:r w:rsidRPr="00A86459">
        <w:t>uthority</w:t>
      </w:r>
      <w:bookmarkEnd w:id="5"/>
    </w:p>
    <w:p w14:paraId="72B2F1E7" w14:textId="2E3578D0" w:rsidR="00DD4552" w:rsidRDefault="00AC7F29" w:rsidP="001E54E7">
      <w:r>
        <w:t xml:space="preserve">This report was written by </w:t>
      </w:r>
      <w:r w:rsidRPr="007F7E40">
        <w:t>Nick Marchant</w:t>
      </w:r>
      <w:r>
        <w:t>, the principal ecologist of NM Ecology Ltd. He</w:t>
      </w:r>
      <w:r w:rsidRPr="007F7E40">
        <w:t xml:space="preserve"> has </w:t>
      </w:r>
      <w:r w:rsidR="001E54E7">
        <w:t>six</w:t>
      </w:r>
      <w:r>
        <w:t xml:space="preserve">teen </w:t>
      </w:r>
      <w:r w:rsidRPr="007F7E40">
        <w:t xml:space="preserve">years of professional experience, including </w:t>
      </w:r>
      <w:r w:rsidR="001E54E7">
        <w:t>thirteen</w:t>
      </w:r>
      <w:r w:rsidR="00403DC0">
        <w:t xml:space="preserve"> </w:t>
      </w:r>
      <w:r w:rsidRPr="007F7E40">
        <w:t xml:space="preserve">years as an ecological consultant, one year as a local authority biodiversity officer, and two years managing an NGO in Indonesia. He </w:t>
      </w:r>
      <w:r>
        <w:t>provides ecological assessments for developments throughout Ireland and Northern Ireland, including wind farms, infrastructural projects (roads, water pipelines, greenways, etc.), and a range of residential and commercial developments</w:t>
      </w:r>
      <w:r w:rsidR="00DD4552" w:rsidRPr="00A86459">
        <w:t xml:space="preserve">. </w:t>
      </w:r>
    </w:p>
    <w:p w14:paraId="720DD437" w14:textId="179325B6" w:rsidR="001E54E7" w:rsidRPr="00A86459" w:rsidRDefault="001E54E7" w:rsidP="00AC7F29">
      <w:r w:rsidRPr="007F7E40">
        <w:t>He h</w:t>
      </w:r>
      <w:r>
        <w:t>a</w:t>
      </w:r>
      <w:r w:rsidRPr="007F7E40">
        <w:t>s an MSc in Ecosystem Conservation and Landscape Management from NUI Galway and a BSc in Environmental Science from Queens University Belfast. He is a member of the Chartered Institute of Ecology and Environmental Management,</w:t>
      </w:r>
      <w:r>
        <w:t xml:space="preserve"> and</w:t>
      </w:r>
      <w:r w:rsidRPr="007F7E40">
        <w:t xml:space="preserve"> operates in accordance with their code of professional conduct</w:t>
      </w:r>
      <w:r>
        <w:t>.</w:t>
      </w:r>
    </w:p>
    <w:p w14:paraId="72B2F1E8" w14:textId="77777777" w:rsidR="00B6597A" w:rsidRDefault="00B6597A" w:rsidP="006D57ED"/>
    <w:p w14:paraId="72B2F1E9" w14:textId="77777777" w:rsidR="00B6597A" w:rsidRPr="00B6597A" w:rsidRDefault="00B6597A" w:rsidP="00B6597A">
      <w:pPr>
        <w:pStyle w:val="Heading2"/>
      </w:pPr>
      <w:r w:rsidRPr="00B6597A">
        <w:lastRenderedPageBreak/>
        <w:t>Methods</w:t>
      </w:r>
    </w:p>
    <w:p w14:paraId="72B2F1EA" w14:textId="77777777" w:rsidR="00B6597A" w:rsidRPr="001767B9" w:rsidRDefault="00B6597A" w:rsidP="00B6597A">
      <w:pPr>
        <w:spacing w:before="240" w:after="120"/>
      </w:pPr>
      <w:r>
        <w:t>This report has been prepared with reference to the following guidelines:</w:t>
      </w:r>
    </w:p>
    <w:p w14:paraId="2CDFFBF3" w14:textId="77777777" w:rsidR="00B238AD" w:rsidRPr="008F1091" w:rsidRDefault="00B238AD" w:rsidP="00F16FA8">
      <w:pPr>
        <w:pStyle w:val="Bulletlist"/>
      </w:pPr>
      <w:r w:rsidRPr="008F1091">
        <w:t xml:space="preserve">OPR Practice Note PN01: </w:t>
      </w:r>
      <w:r w:rsidRPr="00BC1570">
        <w:rPr>
          <w:i/>
          <w:iCs/>
        </w:rPr>
        <w:t>Appropriate Assessment Screening for Development Management</w:t>
      </w:r>
      <w:r w:rsidRPr="008F1091">
        <w:t xml:space="preserve"> </w:t>
      </w:r>
      <w:r w:rsidRPr="008F1091">
        <w:rPr>
          <w:iCs/>
        </w:rPr>
        <w:t>(Office of the Planning Regulator 2021)</w:t>
      </w:r>
      <w:r w:rsidRPr="008F1091">
        <w:t xml:space="preserve"> </w:t>
      </w:r>
    </w:p>
    <w:p w14:paraId="27D16269" w14:textId="596B0E80" w:rsidR="00B238AD" w:rsidRPr="000817CE" w:rsidRDefault="00B238AD" w:rsidP="00F16FA8">
      <w:pPr>
        <w:pStyle w:val="Bulletlist"/>
      </w:pPr>
      <w:r w:rsidRPr="00BC1570">
        <w:rPr>
          <w:i/>
          <w:iCs/>
        </w:rPr>
        <w:t>Assessment of plans and projects significantly affecting Natura 2000 sites: Methodological guidance on the provisions of Article 6(3) and (4),</w:t>
      </w:r>
      <w:r w:rsidRPr="000817CE">
        <w:t xml:space="preserve"> </w:t>
      </w:r>
      <w:r w:rsidR="00BC1570">
        <w:t>(</w:t>
      </w:r>
      <w:r w:rsidRPr="000817CE">
        <w:t>E</w:t>
      </w:r>
      <w:r>
        <w:t>.</w:t>
      </w:r>
      <w:r w:rsidRPr="000817CE">
        <w:t>C.</w:t>
      </w:r>
      <w:r>
        <w:t>, 20</w:t>
      </w:r>
      <w:r w:rsidR="00573364">
        <w:t>21</w:t>
      </w:r>
      <w:r w:rsidR="00BC1570">
        <w:t>)</w:t>
      </w:r>
    </w:p>
    <w:p w14:paraId="28174C06" w14:textId="77777777" w:rsidR="00D01940" w:rsidRPr="000817CE" w:rsidRDefault="00D01940" w:rsidP="00F16FA8">
      <w:pPr>
        <w:pStyle w:val="Bulletlist"/>
      </w:pPr>
      <w:r w:rsidRPr="00646CD5">
        <w:rPr>
          <w:i/>
        </w:rPr>
        <w:t>Appropriate Assessment of Plans and Projects in Ireland</w:t>
      </w:r>
      <w:r w:rsidRPr="000817CE">
        <w:t xml:space="preserve"> </w:t>
      </w:r>
      <w:r>
        <w:t>(</w:t>
      </w:r>
      <w:r w:rsidRPr="000817CE">
        <w:t>D</w:t>
      </w:r>
      <w:r>
        <w:t xml:space="preserve">epartment of the </w:t>
      </w:r>
      <w:r w:rsidRPr="000817CE">
        <w:t>E</w:t>
      </w:r>
      <w:r>
        <w:t xml:space="preserve">nvironment, </w:t>
      </w:r>
      <w:r w:rsidRPr="000817CE">
        <w:t>H</w:t>
      </w:r>
      <w:r>
        <w:t xml:space="preserve">eritage and </w:t>
      </w:r>
      <w:r w:rsidRPr="000817CE">
        <w:t>L</w:t>
      </w:r>
      <w:r>
        <w:t xml:space="preserve">ocal </w:t>
      </w:r>
      <w:r w:rsidRPr="000817CE">
        <w:t>G</w:t>
      </w:r>
      <w:r>
        <w:t xml:space="preserve">overnment, </w:t>
      </w:r>
      <w:r w:rsidRPr="000817CE">
        <w:t>2009)</w:t>
      </w:r>
    </w:p>
    <w:p w14:paraId="72B2F1ED" w14:textId="5D2150A9" w:rsidR="00B6597A" w:rsidRPr="00B238AD" w:rsidRDefault="00B238AD" w:rsidP="00F16FA8">
      <w:pPr>
        <w:pStyle w:val="Bulletlist"/>
      </w:pPr>
      <w:r w:rsidRPr="00BC1570">
        <w:rPr>
          <w:i/>
          <w:iCs/>
        </w:rPr>
        <w:t>Guidelines for Ecological Impact Assessment in the UK and Ireland: Terrestrial, Freshwater and Coastal</w:t>
      </w:r>
      <w:r w:rsidRPr="00D2212E">
        <w:t xml:space="preserve"> </w:t>
      </w:r>
      <w:r>
        <w:t>(</w:t>
      </w:r>
      <w:r w:rsidRPr="00D2212E">
        <w:t>C</w:t>
      </w:r>
      <w:r>
        <w:t xml:space="preserve">hartered </w:t>
      </w:r>
      <w:r w:rsidRPr="00D2212E">
        <w:t>I</w:t>
      </w:r>
      <w:r>
        <w:t xml:space="preserve">nstitute of </w:t>
      </w:r>
      <w:r w:rsidRPr="00D2212E">
        <w:t>E</w:t>
      </w:r>
      <w:r>
        <w:t xml:space="preserve">cology and </w:t>
      </w:r>
      <w:r w:rsidRPr="00D2212E">
        <w:t>E</w:t>
      </w:r>
      <w:r>
        <w:t xml:space="preserve">nvironmental </w:t>
      </w:r>
      <w:r w:rsidRPr="00D2212E">
        <w:t>M</w:t>
      </w:r>
      <w:r>
        <w:t xml:space="preserve">anagement, </w:t>
      </w:r>
      <w:r w:rsidRPr="00D2212E">
        <w:t>20</w:t>
      </w:r>
      <w:r>
        <w:t>18</w:t>
      </w:r>
      <w:r w:rsidRPr="00D2212E">
        <w:t>)</w:t>
      </w:r>
    </w:p>
    <w:p w14:paraId="72B2F1F6" w14:textId="77777777" w:rsidR="00B6597A" w:rsidRDefault="00B6597A" w:rsidP="00B6597A">
      <w:pPr>
        <w:spacing w:before="240" w:after="120"/>
      </w:pPr>
      <w:r>
        <w:t xml:space="preserve">A desk-based study was </w:t>
      </w:r>
      <w:r w:rsidR="00F325D0">
        <w:t>carried out</w:t>
      </w:r>
      <w:r>
        <w:t xml:space="preserve"> using data from the following sources:</w:t>
      </w:r>
    </w:p>
    <w:p w14:paraId="72B2F1F7" w14:textId="77777777" w:rsidR="00B6597A" w:rsidRPr="000817CE" w:rsidRDefault="00B6597A" w:rsidP="00F16FA8">
      <w:pPr>
        <w:pStyle w:val="Bulletlist"/>
      </w:pPr>
      <w:r w:rsidRPr="000817CE">
        <w:t xml:space="preserve">Plans and specifications for the proposed development </w:t>
      </w:r>
    </w:p>
    <w:p w14:paraId="72B2F1F8" w14:textId="46E7A392" w:rsidR="00B6597A" w:rsidRDefault="009A719F" w:rsidP="00F16FA8">
      <w:pPr>
        <w:pStyle w:val="Bulletlist"/>
      </w:pPr>
      <w:r>
        <w:t>Qualifying i</w:t>
      </w:r>
      <w:r w:rsidR="00B6597A" w:rsidRPr="000817CE">
        <w:t>nterests</w:t>
      </w:r>
      <w:r>
        <w:t xml:space="preserve"> / conservation objectives</w:t>
      </w:r>
      <w:r w:rsidR="00B6597A" w:rsidRPr="000817CE">
        <w:t xml:space="preserve"> of </w:t>
      </w:r>
      <w:r w:rsidR="00167573">
        <w:t>European</w:t>
      </w:r>
      <w:r w:rsidR="00B6597A" w:rsidRPr="000817CE">
        <w:t xml:space="preserve"> sites from </w:t>
      </w:r>
      <w:r w:rsidR="00B6597A" w:rsidRPr="00B65114">
        <w:t>www.npws.ie</w:t>
      </w:r>
    </w:p>
    <w:p w14:paraId="3851659A" w14:textId="3FFC9914" w:rsidR="00CA2222" w:rsidRPr="00A86459" w:rsidRDefault="00CA2222" w:rsidP="00F16FA8">
      <w:pPr>
        <w:pStyle w:val="Bulletlist"/>
      </w:pPr>
      <w:r w:rsidRPr="00A86459">
        <w:t>Bedrock, soil, subsoil</w:t>
      </w:r>
      <w:r>
        <w:t>, surface water and ground water</w:t>
      </w:r>
      <w:r w:rsidRPr="00A86459">
        <w:t xml:space="preserve"> </w:t>
      </w:r>
      <w:r>
        <w:t xml:space="preserve">maps </w:t>
      </w:r>
      <w:r w:rsidRPr="00A86459">
        <w:t>from the Geological Survey of Ireland webmapping service (</w:t>
      </w:r>
      <w:r w:rsidR="0099010B" w:rsidRPr="0099010B">
        <w:t>dcenr.maps.arcgis.com</w:t>
      </w:r>
      <w:r w:rsidRPr="00A86459">
        <w:t>)</w:t>
      </w:r>
      <w:r>
        <w:t>, the National Biodiversity Data Centre (</w:t>
      </w:r>
      <w:hyperlink r:id="rId11" w:history="1">
        <w:r w:rsidRPr="00B65114">
          <w:t>http://maps.biodiversityireland.ie/</w:t>
        </w:r>
      </w:hyperlink>
      <w:r>
        <w:t xml:space="preserve">), and </w:t>
      </w:r>
      <w:r w:rsidRPr="00A86459">
        <w:t>the Environmental Protection Agency web viewer (</w:t>
      </w:r>
      <w:r w:rsidRPr="00704BED">
        <w:t>gis.epa.ie/EPAMaps/</w:t>
      </w:r>
      <w:r w:rsidRPr="00A86459">
        <w:t>)</w:t>
      </w:r>
    </w:p>
    <w:p w14:paraId="72B2F1FA" w14:textId="707D0FCD" w:rsidR="00B6597A" w:rsidRDefault="00BE760D" w:rsidP="00F16FA8">
      <w:pPr>
        <w:pStyle w:val="Bulletlist"/>
      </w:pPr>
      <w:r w:rsidRPr="008410BF">
        <w:t xml:space="preserve">The </w:t>
      </w:r>
      <w:r w:rsidR="00C12BF7">
        <w:rPr>
          <w:i/>
          <w:iCs/>
        </w:rPr>
        <w:t>South Dublin</w:t>
      </w:r>
      <w:r w:rsidR="007E421B" w:rsidRPr="007E421B">
        <w:rPr>
          <w:i/>
          <w:iCs/>
        </w:rPr>
        <w:t xml:space="preserve"> County</w:t>
      </w:r>
      <w:r w:rsidR="007E421B">
        <w:rPr>
          <w:i/>
          <w:iCs/>
        </w:rPr>
        <w:t xml:space="preserve"> </w:t>
      </w:r>
      <w:r w:rsidRPr="008410BF">
        <w:rPr>
          <w:i/>
          <w:iCs/>
        </w:rPr>
        <w:t>Development Plan</w:t>
      </w:r>
      <w:r w:rsidRPr="008410BF">
        <w:t xml:space="preserve"> 20</w:t>
      </w:r>
      <w:r w:rsidR="002F2FFB">
        <w:t>2</w:t>
      </w:r>
      <w:r w:rsidR="00260A0A">
        <w:t>2</w:t>
      </w:r>
      <w:r w:rsidRPr="008410BF">
        <w:t xml:space="preserve"> – 202</w:t>
      </w:r>
      <w:r w:rsidR="00260A0A">
        <w:t>8</w:t>
      </w:r>
      <w:r w:rsidRPr="008410BF">
        <w:t>, and details of permitted or proposed developments from the local authority’s online planning records</w:t>
      </w:r>
    </w:p>
    <w:p w14:paraId="35304B49" w14:textId="1977E5EA" w:rsidR="00EE0883" w:rsidRDefault="00E872EB" w:rsidP="00B65114">
      <w:pPr>
        <w:spacing w:after="0"/>
      </w:pPr>
      <w:r w:rsidRPr="00BB61E6">
        <w:t xml:space="preserve">Desktop data from internet resources was accessed </w:t>
      </w:r>
      <w:r w:rsidR="004A678A">
        <w:t xml:space="preserve">in January </w:t>
      </w:r>
      <w:r>
        <w:t>202</w:t>
      </w:r>
      <w:r w:rsidR="004A678A">
        <w:t>4</w:t>
      </w:r>
      <w:r w:rsidRPr="00BB61E6">
        <w:t xml:space="preserve">, </w:t>
      </w:r>
      <w:r w:rsidR="004A678A">
        <w:t xml:space="preserve">and </w:t>
      </w:r>
      <w:r w:rsidRPr="00BB61E6">
        <w:t xml:space="preserve">a </w:t>
      </w:r>
      <w:r>
        <w:t xml:space="preserve">multi-disciplinary </w:t>
      </w:r>
      <w:r w:rsidR="004A678A">
        <w:t xml:space="preserve">ecology </w:t>
      </w:r>
      <w:r>
        <w:t xml:space="preserve">survey </w:t>
      </w:r>
      <w:r w:rsidRPr="00BB61E6">
        <w:t xml:space="preserve">was carried out on </w:t>
      </w:r>
      <w:r>
        <w:t>1</w:t>
      </w:r>
      <w:r w:rsidR="004A678A">
        <w:t>5</w:t>
      </w:r>
      <w:r>
        <w:t xml:space="preserve"> June </w:t>
      </w:r>
      <w:r w:rsidRPr="00AF4656">
        <w:t>202</w:t>
      </w:r>
      <w:r>
        <w:t>3</w:t>
      </w:r>
      <w:r w:rsidR="00B6597A">
        <w:t>.</w:t>
      </w:r>
      <w:r w:rsidR="00824355">
        <w:t xml:space="preserve"> </w:t>
      </w:r>
    </w:p>
    <w:p w14:paraId="72B2F1FC" w14:textId="77777777" w:rsidR="0097361F" w:rsidRPr="00B6597A" w:rsidRDefault="0097361F" w:rsidP="0097361F">
      <w:pPr>
        <w:pStyle w:val="Heading1"/>
      </w:pPr>
      <w:r w:rsidRPr="00B6597A">
        <w:t>Description of the Project</w:t>
      </w:r>
    </w:p>
    <w:p w14:paraId="72B2F1FD" w14:textId="77777777" w:rsidR="0097361F" w:rsidRPr="00B6597A" w:rsidRDefault="00076446" w:rsidP="00C42AB4">
      <w:pPr>
        <w:pStyle w:val="Heading2"/>
        <w:spacing w:before="360"/>
      </w:pPr>
      <w:r>
        <w:t>Environmental setting</w:t>
      </w:r>
    </w:p>
    <w:p w14:paraId="66275FD8" w14:textId="77777777" w:rsidR="00A52F3A" w:rsidRDefault="00A52F3A" w:rsidP="00A52F3A">
      <w:pPr>
        <w:pStyle w:val="Heading3"/>
      </w:pPr>
      <w:r>
        <w:t>Site location and surroundings</w:t>
      </w:r>
    </w:p>
    <w:p w14:paraId="5426D93B" w14:textId="77777777" w:rsidR="00FB5555" w:rsidRDefault="00FB5555" w:rsidP="00FB5555">
      <w:r w:rsidRPr="0093410E">
        <w:t xml:space="preserve">The </w:t>
      </w:r>
      <w:r>
        <w:t>proposed development site (hereafter referred to as ‘the Site’) is located in a suburban / rural area in the townland of Kishoge. Based on a review of aerial photography it appears that the Site was formerly used as allotments / horticultural land in the 1990s and early 2000s, but in the late 2000s it was cleared and disturbed during the construction of the adjacent Lynch’s Park development, the removal of a halting site to the north-west of the Site, and the widening of the railway line. As part of this process, a large mound of spoil was deposited in the north-east of the Site. There has been no activity on the Site since approx. 2010, and it has recolonised with scrub. The only activity on the Site during this period has been low-intensity grazing by horses.</w:t>
      </w:r>
    </w:p>
    <w:p w14:paraId="716887C5" w14:textId="77777777" w:rsidR="00FB5555" w:rsidRDefault="00FB5555" w:rsidP="00FB5555">
      <w:r>
        <w:lastRenderedPageBreak/>
        <w:t>The southern boundary of the Site is formed by a major railway connecting Dublin with the south-west of Ireland. The eastern boundary is formed by the Lynch’s Yard residential development, and the northern boundary by an associated road. Land to the west and north-west of the Site was formerly used as a halting site, and has some remaining walls and concrete-surfaced yards, but the remainder of the area consists of scrub.</w:t>
      </w:r>
    </w:p>
    <w:p w14:paraId="7DAAD7E4" w14:textId="522D7A84" w:rsidR="001C6176" w:rsidRDefault="00FB5555" w:rsidP="00FB5555">
      <w:r>
        <w:t>The broader surroundings are characterised by abandoned agricultural land, all of which is zoned for future development as part of the Clonburris Strategic Development Zone</w:t>
      </w:r>
      <w:r w:rsidR="00975CC7">
        <w:t xml:space="preserve">. </w:t>
      </w:r>
    </w:p>
    <w:p w14:paraId="53BF8F19" w14:textId="77777777" w:rsidR="00A52F3A" w:rsidRDefault="00A52F3A" w:rsidP="00A52F3A">
      <w:pPr>
        <w:pStyle w:val="Heading3"/>
      </w:pPr>
      <w:r>
        <w:t>Geology and soils</w:t>
      </w:r>
    </w:p>
    <w:p w14:paraId="5218549E" w14:textId="77777777" w:rsidR="00831D26" w:rsidRDefault="00831D26" w:rsidP="00831D26">
      <w:r w:rsidRPr="00BB61E6">
        <w:t xml:space="preserve">The </w:t>
      </w:r>
      <w:r>
        <w:t>underlying bedrock is d</w:t>
      </w:r>
      <w:r w:rsidRPr="00FA3B36">
        <w:t>ark limestone &amp; shale</w:t>
      </w:r>
      <w:r>
        <w:t>, which is a locally-important aquifer. Subsoils are limestone till. Soils are made ground: most of the Site was disturbed during the construction of the adjacent Lynch’s Yard development, which involved the deposition of building spoil on the Site, the mixing of existing subsoil and soil, and compaction of soils by heavy vehicles.</w:t>
      </w:r>
    </w:p>
    <w:p w14:paraId="76E18BFE" w14:textId="0A73107C" w:rsidR="00A52F3A" w:rsidRDefault="00831D26" w:rsidP="00831D26">
      <w:r>
        <w:t>The topography of the Site is broadly level. The mound of building spoil in the north-east of the Site is the only topographical feature of note</w:t>
      </w:r>
      <w:r w:rsidR="00921A05">
        <w:t>.</w:t>
      </w:r>
    </w:p>
    <w:p w14:paraId="45C48E47" w14:textId="77777777" w:rsidR="00A52F3A" w:rsidRDefault="00A52F3A" w:rsidP="00A52F3A">
      <w:pPr>
        <w:pStyle w:val="Heading3"/>
      </w:pPr>
      <w:r>
        <w:t>Hydrology</w:t>
      </w:r>
    </w:p>
    <w:p w14:paraId="1ABD292B" w14:textId="77777777" w:rsidR="00247FC1" w:rsidRDefault="00247FC1" w:rsidP="00247FC1">
      <w:r>
        <w:t>The EPA database of rivers and streams does not show any watercourses within or adjacent to the Site. None were observed during surveys.</w:t>
      </w:r>
    </w:p>
    <w:p w14:paraId="65E11C27" w14:textId="77777777" w:rsidR="00247FC1" w:rsidRDefault="00247FC1" w:rsidP="00247FC1">
      <w:r>
        <w:t>The Grand Canal is located approx. 500 m south of the Site. Canals are self-contained hydrological features that do not interact with surrounding surface water or groundwater features, so there could be no connection between the Site and the canal.</w:t>
      </w:r>
    </w:p>
    <w:p w14:paraId="0801F397" w14:textId="77777777" w:rsidR="00247FC1" w:rsidRDefault="00247FC1" w:rsidP="00247FC1">
      <w:r>
        <w:t>The closest natural watercourse is the Grifeen River, which is a tributary of the River Liffey. It is located approx. 1.3 km west of the Site at the closest point. Due to its distance from the Site and the absence of any intervening surface water features, it can be concluded that the Site has no connection to the Grifeen River.</w:t>
      </w:r>
    </w:p>
    <w:p w14:paraId="3546DAA7" w14:textId="4DEA9F27" w:rsidR="0049627D" w:rsidRDefault="00247FC1" w:rsidP="00247FC1">
      <w:r>
        <w:t>In summary, the Site has no connection to any watercourses</w:t>
      </w:r>
      <w:r w:rsidR="00F83668">
        <w:t>.</w:t>
      </w:r>
    </w:p>
    <w:p w14:paraId="51CABC04" w14:textId="77777777" w:rsidR="000549E0" w:rsidRPr="00853D5E" w:rsidRDefault="000549E0" w:rsidP="000549E0">
      <w:pPr>
        <w:pStyle w:val="Heading2"/>
      </w:pPr>
      <w:r w:rsidRPr="00853D5E">
        <w:t>Description of the proposed development</w:t>
      </w:r>
    </w:p>
    <w:p w14:paraId="3DC8BC68" w14:textId="77777777" w:rsidR="00006065" w:rsidRDefault="00006065" w:rsidP="00006065">
      <w:r>
        <w:t>The proposed development will involve the construction of 118 no. residential units in a range of designs. Road access will be from the northern boundary of the Site, and internal roads and parking areas will be provided. Public open space will be created, and houses will have private gardens.</w:t>
      </w:r>
    </w:p>
    <w:p w14:paraId="58F0AF1B" w14:textId="77777777" w:rsidR="00006065" w:rsidRDefault="00006065" w:rsidP="00006065">
      <w:pPr>
        <w:rPr>
          <w:lang w:val="en-GB"/>
        </w:rPr>
      </w:pPr>
      <w:r w:rsidRPr="00F80235">
        <w:rPr>
          <w:lang w:val="en-GB"/>
        </w:rPr>
        <w:t xml:space="preserve">Foul water </w:t>
      </w:r>
      <w:r>
        <w:rPr>
          <w:lang w:val="en-GB"/>
        </w:rPr>
        <w:t>will be pumped</w:t>
      </w:r>
      <w:r w:rsidRPr="00F80235">
        <w:rPr>
          <w:lang w:val="en-GB"/>
        </w:rPr>
        <w:t xml:space="preserve"> to a local authority foul sewer </w:t>
      </w:r>
      <w:r>
        <w:rPr>
          <w:lang w:val="en-GB"/>
        </w:rPr>
        <w:t xml:space="preserve">to the north of the Site and conveyed to the Ringsend </w:t>
      </w:r>
      <w:r w:rsidRPr="00F80235">
        <w:rPr>
          <w:lang w:val="en-GB"/>
        </w:rPr>
        <w:t xml:space="preserve">Waste Water Treatment </w:t>
      </w:r>
      <w:r>
        <w:rPr>
          <w:lang w:val="en-GB"/>
        </w:rPr>
        <w:t>Plant</w:t>
      </w:r>
      <w:r w:rsidRPr="00F80235">
        <w:rPr>
          <w:lang w:val="en-GB"/>
        </w:rPr>
        <w:t xml:space="preserve">. </w:t>
      </w:r>
      <w:r>
        <w:rPr>
          <w:lang w:val="en-GB"/>
        </w:rPr>
        <w:t xml:space="preserve">The Ringsend WWTP is currently exceeding its </w:t>
      </w:r>
      <w:r>
        <w:rPr>
          <w:lang w:val="en-GB"/>
        </w:rPr>
        <w:lastRenderedPageBreak/>
        <w:t>organic capacity, but a major upgrade is in progress that will provide sufficient capacity by 2025. The WWTP upgrade will be completed before the proposed development is operational / occupied, so there will be capacity to accept the effluent.</w:t>
      </w:r>
      <w:r w:rsidRPr="00D402A9">
        <w:rPr>
          <w:lang w:val="en-GB"/>
        </w:rPr>
        <w:t xml:space="preserve"> </w:t>
      </w:r>
    </w:p>
    <w:p w14:paraId="70CAB939" w14:textId="247A8A08" w:rsidR="00D058D2" w:rsidRDefault="00006065" w:rsidP="00006065">
      <w:pPr>
        <w:rPr>
          <w:lang w:val="en-GB"/>
        </w:rPr>
      </w:pPr>
      <w:r w:rsidRPr="004510B7">
        <w:rPr>
          <w:lang w:val="en-GB"/>
        </w:rPr>
        <w:t xml:space="preserve">Rainwater </w:t>
      </w:r>
      <w:r>
        <w:rPr>
          <w:lang w:val="en-GB"/>
        </w:rPr>
        <w:t xml:space="preserve">runoff </w:t>
      </w:r>
      <w:r w:rsidRPr="004510B7">
        <w:rPr>
          <w:lang w:val="en-GB"/>
        </w:rPr>
        <w:t xml:space="preserve">from roofs and </w:t>
      </w:r>
      <w:r>
        <w:rPr>
          <w:lang w:val="en-GB"/>
        </w:rPr>
        <w:t xml:space="preserve">other impermeable </w:t>
      </w:r>
      <w:r w:rsidRPr="004510B7">
        <w:rPr>
          <w:lang w:val="en-GB"/>
        </w:rPr>
        <w:t xml:space="preserve">surfaces </w:t>
      </w:r>
      <w:r>
        <w:rPr>
          <w:lang w:val="en-GB"/>
        </w:rPr>
        <w:t>will be channelled to detention basins in the south and centre of the Site, and discharged at a controlled rate to a local authority storm drain in the north of the Site. The system will include an oil and hydrocarbon interceptor</w:t>
      </w:r>
      <w:r w:rsidR="001B1E7C">
        <w:rPr>
          <w:lang w:val="en-GB"/>
        </w:rPr>
        <w:t>.</w:t>
      </w:r>
    </w:p>
    <w:p w14:paraId="72B2F20C" w14:textId="1B928D3C" w:rsidR="00B6597A" w:rsidRPr="00853D5E" w:rsidRDefault="00831F7E" w:rsidP="00853D5E">
      <w:pPr>
        <w:pStyle w:val="Heading1"/>
      </w:pPr>
      <w:r>
        <w:t>Review</w:t>
      </w:r>
      <w:r w:rsidR="00B6597A" w:rsidRPr="00853D5E">
        <w:t xml:space="preserve"> of </w:t>
      </w:r>
      <w:r w:rsidR="00BF6717">
        <w:t xml:space="preserve">relevant </w:t>
      </w:r>
      <w:r w:rsidR="00167573">
        <w:t>European</w:t>
      </w:r>
      <w:r w:rsidR="00B6597A" w:rsidRPr="00853D5E">
        <w:t xml:space="preserve"> sites</w:t>
      </w:r>
      <w:r w:rsidR="002B40AB">
        <w:t xml:space="preserve"> </w:t>
      </w:r>
    </w:p>
    <w:p w14:paraId="0A353D77" w14:textId="63D37CA4" w:rsidR="00F66344" w:rsidRDefault="00F66344" w:rsidP="00F66344">
      <w:bookmarkStart w:id="6" w:name="_Toc417546101"/>
      <w:r w:rsidRPr="005200F2">
        <w:t xml:space="preserve">In this section we identify European sites that could potentially be affected by the proposed development. The primary consideration is whether the proposed development is within the boundaries of any European sites, because this could lead to direct effects. This is </w:t>
      </w:r>
      <w:r w:rsidR="00F62F1A">
        <w:t>discuss</w:t>
      </w:r>
      <w:r w:rsidRPr="005200F2">
        <w:t>ed in Section 3.1.</w:t>
      </w:r>
    </w:p>
    <w:p w14:paraId="165A2432" w14:textId="53E902BD" w:rsidR="00F66344" w:rsidRDefault="00F66344" w:rsidP="00F66344">
      <w:bookmarkStart w:id="7" w:name="_Hlk138927765"/>
      <w:r>
        <w:t xml:space="preserve">It is also possible that the proposed development could </w:t>
      </w:r>
      <w:r w:rsidR="00CD0100">
        <w:t>cause</w:t>
      </w:r>
      <w:r>
        <w:t xml:space="preserve"> indirect effects on European sites </w:t>
      </w:r>
      <w:r w:rsidR="00CD0100">
        <w:t xml:space="preserve">located </w:t>
      </w:r>
      <w:r>
        <w:t xml:space="preserve">outside the boundary. This is considered using the </w:t>
      </w:r>
      <w:r w:rsidRPr="00092B0C">
        <w:rPr>
          <w:i/>
          <w:iCs/>
        </w:rPr>
        <w:t>source-pathway-receptor</w:t>
      </w:r>
      <w:r>
        <w:t xml:space="preserve"> model, which </w:t>
      </w:r>
      <w:r w:rsidR="009558EA">
        <w:t>identifies</w:t>
      </w:r>
      <w:r>
        <w:t xml:space="preserve"> potential </w:t>
      </w:r>
      <w:r w:rsidRPr="00092B0C">
        <w:rPr>
          <w:i/>
          <w:iCs/>
        </w:rPr>
        <w:t>pathways</w:t>
      </w:r>
      <w:r>
        <w:t xml:space="preserve"> (e.g. surface water) between the </w:t>
      </w:r>
      <w:r w:rsidRPr="00092B0C">
        <w:rPr>
          <w:i/>
          <w:iCs/>
        </w:rPr>
        <w:t>source</w:t>
      </w:r>
      <w:r>
        <w:t xml:space="preserve"> (the Site) and the </w:t>
      </w:r>
      <w:r w:rsidRPr="00092B0C">
        <w:rPr>
          <w:i/>
          <w:iCs/>
        </w:rPr>
        <w:t>receptor</w:t>
      </w:r>
      <w:r>
        <w:t xml:space="preserve"> (a European site). </w:t>
      </w:r>
      <w:r w:rsidR="009558EA">
        <w:t xml:space="preserve">This is </w:t>
      </w:r>
      <w:r w:rsidR="00F62F1A">
        <w:t xml:space="preserve">discussed </w:t>
      </w:r>
      <w:r>
        <w:t>in Section 3.2.</w:t>
      </w:r>
    </w:p>
    <w:p w14:paraId="35850FCF" w14:textId="5FD53BB3" w:rsidR="00BF6717" w:rsidRDefault="00F54298" w:rsidP="00F66344">
      <w:r>
        <w:t>Some of the bird</w:t>
      </w:r>
      <w:r w:rsidR="006130DC">
        <w:t xml:space="preserve"> species</w:t>
      </w:r>
      <w:r>
        <w:t xml:space="preserve"> associated with SPAs </w:t>
      </w:r>
      <w:r w:rsidR="00BD446E">
        <w:t>can</w:t>
      </w:r>
      <w:r w:rsidR="009A649A">
        <w:t xml:space="preserve"> </w:t>
      </w:r>
      <w:r>
        <w:t xml:space="preserve">use </w:t>
      </w:r>
      <w:r w:rsidR="009A649A">
        <w:t xml:space="preserve">secondary </w:t>
      </w:r>
      <w:r>
        <w:t>habitats outside the SPA boundaries</w:t>
      </w:r>
      <w:r w:rsidR="009A649A">
        <w:t xml:space="preserve">, e.g. </w:t>
      </w:r>
      <w:r>
        <w:t xml:space="preserve">brent geese </w:t>
      </w:r>
      <w:r w:rsidR="00784525">
        <w:t>feed</w:t>
      </w:r>
      <w:r w:rsidR="009A649A">
        <w:t>ing</w:t>
      </w:r>
      <w:r w:rsidR="00784525">
        <w:t xml:space="preserve"> on </w:t>
      </w:r>
      <w:r w:rsidR="009A649A">
        <w:t xml:space="preserve">urban </w:t>
      </w:r>
      <w:r w:rsidR="00784525">
        <w:t xml:space="preserve">grasslands. </w:t>
      </w:r>
      <w:r w:rsidR="005448C7">
        <w:t>T</w:t>
      </w:r>
      <w:r w:rsidR="0014350C">
        <w:t xml:space="preserve">he suitability of habitats </w:t>
      </w:r>
      <w:r w:rsidR="005448C7">
        <w:t xml:space="preserve">within the Site </w:t>
      </w:r>
      <w:r w:rsidR="0014350C">
        <w:t xml:space="preserve">for </w:t>
      </w:r>
      <w:r w:rsidR="005448C7">
        <w:t xml:space="preserve">SPA </w:t>
      </w:r>
      <w:r w:rsidR="0014350C">
        <w:t>bird</w:t>
      </w:r>
      <w:r w:rsidR="005448C7">
        <w:t xml:space="preserve"> species</w:t>
      </w:r>
      <w:r w:rsidR="0014350C">
        <w:t xml:space="preserve"> is </w:t>
      </w:r>
      <w:r w:rsidR="005448C7">
        <w:t xml:space="preserve">discussed </w:t>
      </w:r>
      <w:r w:rsidR="0014350C">
        <w:t xml:space="preserve">in </w:t>
      </w:r>
      <w:r w:rsidR="00784525">
        <w:t>Section 3.3.</w:t>
      </w:r>
    </w:p>
    <w:p w14:paraId="065138E5" w14:textId="38E64A0D" w:rsidR="00022D52" w:rsidRDefault="0014350C" w:rsidP="00F66344">
      <w:r>
        <w:t xml:space="preserve">To support the </w:t>
      </w:r>
      <w:r w:rsidR="006130DC">
        <w:t xml:space="preserve">above </w:t>
      </w:r>
      <w:r>
        <w:t>assessments, a</w:t>
      </w:r>
      <w:r w:rsidR="00022D52">
        <w:t xml:space="preserve"> map of European sites in the surrounding area is </w:t>
      </w:r>
      <w:r w:rsidR="009C03D9">
        <w:t>shown in Figure 1</w:t>
      </w:r>
      <w:r w:rsidR="006130DC">
        <w:t>, and d</w:t>
      </w:r>
      <w:r w:rsidR="009C03D9">
        <w:t xml:space="preserve">etails of </w:t>
      </w:r>
      <w:r w:rsidR="008021B7">
        <w:t xml:space="preserve">relevant </w:t>
      </w:r>
      <w:r w:rsidR="009C03D9">
        <w:t>European sites are provided in Table 1.</w:t>
      </w:r>
      <w:r w:rsidR="00D43478">
        <w:t xml:space="preserve"> For the avoidance of doubt, an arbitrary zone of influence (e.g. 15 km) has not been used for this assessment, as it is no longer considered to be best practice (OPR 2021).</w:t>
      </w:r>
    </w:p>
    <w:p w14:paraId="4E8674AD" w14:textId="7399C937" w:rsidR="006B4AC1" w:rsidRDefault="006B4AC1" w:rsidP="006B4AC1">
      <w:pPr>
        <w:pStyle w:val="Figurelabels"/>
      </w:pPr>
      <w:r w:rsidRPr="006229EC">
        <w:t xml:space="preserve">Table 1: </w:t>
      </w:r>
      <w:r>
        <w:t>European</w:t>
      </w:r>
      <w:r w:rsidRPr="006229EC">
        <w:t xml:space="preserve"> site </w:t>
      </w:r>
      <w:r w:rsidR="00A75391">
        <w:t>shown in Figure 1</w:t>
      </w:r>
    </w:p>
    <w:tbl>
      <w:tblPr>
        <w:tblStyle w:val="GridTable3-Accent3"/>
        <w:tblW w:w="4711" w:type="pct"/>
        <w:tblInd w:w="567" w:type="dxa"/>
        <w:tblBorders>
          <w:insideV w:val="none" w:sz="0" w:space="0" w:color="auto"/>
        </w:tblBorders>
        <w:tblLayout w:type="fixed"/>
        <w:tblLook w:val="04A0" w:firstRow="1" w:lastRow="0" w:firstColumn="1" w:lastColumn="0" w:noHBand="0" w:noVBand="1"/>
      </w:tblPr>
      <w:tblGrid>
        <w:gridCol w:w="1843"/>
        <w:gridCol w:w="1276"/>
        <w:gridCol w:w="5385"/>
      </w:tblGrid>
      <w:tr w:rsidR="006B4AC1" w:rsidRPr="00A75391" w14:paraId="331D261C" w14:textId="77777777" w:rsidTr="009246D0">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100" w:firstRow="0" w:lastRow="0" w:firstColumn="1" w:lastColumn="0" w:oddVBand="0" w:evenVBand="0" w:oddHBand="0" w:evenHBand="0" w:firstRowFirstColumn="1" w:firstRowLastColumn="0" w:lastRowFirstColumn="0" w:lastRowLastColumn="0"/>
            <w:tcW w:w="1084"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1736EC90" w14:textId="77777777" w:rsidR="006B4AC1" w:rsidRPr="00A75391" w:rsidRDefault="006B4AC1" w:rsidP="009246D0">
            <w:pPr>
              <w:pStyle w:val="Tabletext"/>
              <w:jc w:val="left"/>
              <w:rPr>
                <w:i w:val="0"/>
                <w:iCs w:val="0"/>
                <w:sz w:val="22"/>
                <w:lang w:eastAsia="en-IE"/>
              </w:rPr>
            </w:pPr>
            <w:r w:rsidRPr="00A75391">
              <w:rPr>
                <w:i w:val="0"/>
                <w:iCs w:val="0"/>
                <w:sz w:val="22"/>
                <w:lang w:eastAsia="en-IE"/>
              </w:rPr>
              <w:t>Site Name</w:t>
            </w:r>
          </w:p>
        </w:tc>
        <w:tc>
          <w:tcPr>
            <w:tcW w:w="750"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311E1061" w14:textId="77777777" w:rsidR="006B4AC1" w:rsidRPr="00A75391" w:rsidRDefault="006B4AC1" w:rsidP="009246D0">
            <w:pPr>
              <w:pStyle w:val="Tabletext"/>
              <w:cnfStyle w:val="100000000000" w:firstRow="1" w:lastRow="0" w:firstColumn="0" w:lastColumn="0" w:oddVBand="0" w:evenVBand="0" w:oddHBand="0" w:evenHBand="0" w:firstRowFirstColumn="0" w:firstRowLastColumn="0" w:lastRowFirstColumn="0" w:lastRowLastColumn="0"/>
              <w:rPr>
                <w:sz w:val="22"/>
                <w:lang w:eastAsia="en-IE"/>
              </w:rPr>
            </w:pPr>
            <w:r w:rsidRPr="00A75391">
              <w:rPr>
                <w:sz w:val="22"/>
                <w:lang w:eastAsia="en-IE"/>
              </w:rPr>
              <w:t>Distance</w:t>
            </w:r>
          </w:p>
        </w:tc>
        <w:tc>
          <w:tcPr>
            <w:tcW w:w="3166"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69671853" w14:textId="77777777" w:rsidR="006B4AC1" w:rsidRPr="00A75391" w:rsidRDefault="006B4AC1" w:rsidP="009246D0">
            <w:pPr>
              <w:pStyle w:val="Tabletext"/>
              <w:cnfStyle w:val="100000000000" w:firstRow="1" w:lastRow="0" w:firstColumn="0" w:lastColumn="0" w:oddVBand="0" w:evenVBand="0" w:oddHBand="0" w:evenHBand="0" w:firstRowFirstColumn="0" w:firstRowLastColumn="0" w:lastRowFirstColumn="0" w:lastRowLastColumn="0"/>
              <w:rPr>
                <w:sz w:val="22"/>
                <w:lang w:eastAsia="en-IE"/>
              </w:rPr>
            </w:pPr>
            <w:r w:rsidRPr="00A75391">
              <w:rPr>
                <w:sz w:val="22"/>
                <w:lang w:eastAsia="en-IE"/>
              </w:rPr>
              <w:t>Qualifying Interests</w:t>
            </w:r>
          </w:p>
        </w:tc>
      </w:tr>
      <w:tr w:rsidR="00A75391" w:rsidRPr="00A75391" w14:paraId="2803353B" w14:textId="77777777" w:rsidTr="009246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4" w:type="pct"/>
            <w:tcBorders>
              <w:right w:val="none" w:sz="0" w:space="0" w:color="auto"/>
            </w:tcBorders>
            <w:noWrap/>
          </w:tcPr>
          <w:p w14:paraId="004BC09D" w14:textId="726B61F9" w:rsidR="00A75391" w:rsidRPr="00AB711B" w:rsidRDefault="00A75391" w:rsidP="00A75391">
            <w:pPr>
              <w:pStyle w:val="Tabletext"/>
              <w:jc w:val="left"/>
              <w:rPr>
                <w:i w:val="0"/>
                <w:sz w:val="22"/>
                <w:lang w:eastAsia="en-IE"/>
              </w:rPr>
            </w:pPr>
            <w:r w:rsidRPr="00AB711B">
              <w:rPr>
                <w:i w:val="0"/>
                <w:sz w:val="22"/>
                <w:lang w:eastAsia="en-IE"/>
              </w:rPr>
              <w:t>Rye Water Valley</w:t>
            </w:r>
            <w:r w:rsidR="00AB711B">
              <w:rPr>
                <w:i w:val="0"/>
                <w:sz w:val="22"/>
                <w:lang w:eastAsia="en-IE"/>
              </w:rPr>
              <w:t xml:space="preserve"> </w:t>
            </w:r>
            <w:r w:rsidRPr="00AB711B">
              <w:rPr>
                <w:i w:val="0"/>
                <w:sz w:val="22"/>
                <w:lang w:eastAsia="en-IE"/>
              </w:rPr>
              <w:t>/</w:t>
            </w:r>
            <w:r w:rsidR="00AB711B">
              <w:rPr>
                <w:i w:val="0"/>
                <w:sz w:val="22"/>
                <w:lang w:eastAsia="en-IE"/>
              </w:rPr>
              <w:t xml:space="preserve"> </w:t>
            </w:r>
            <w:r w:rsidRPr="00AB711B">
              <w:rPr>
                <w:i w:val="0"/>
                <w:sz w:val="22"/>
                <w:lang w:eastAsia="en-IE"/>
              </w:rPr>
              <w:t>Carton SAC (1398)</w:t>
            </w:r>
          </w:p>
        </w:tc>
        <w:tc>
          <w:tcPr>
            <w:tcW w:w="750" w:type="pct"/>
            <w:tcBorders>
              <w:left w:val="none" w:sz="0" w:space="0" w:color="auto"/>
              <w:right w:val="none" w:sz="0" w:space="0" w:color="auto"/>
            </w:tcBorders>
            <w:noWrap/>
          </w:tcPr>
          <w:p w14:paraId="7529029A" w14:textId="25528AC0" w:rsidR="00A75391" w:rsidRPr="00A75391" w:rsidRDefault="00A75391" w:rsidP="00A75391">
            <w:pPr>
              <w:pStyle w:val="Tabletext"/>
              <w:cnfStyle w:val="000000100000" w:firstRow="0" w:lastRow="0" w:firstColumn="0" w:lastColumn="0" w:oddVBand="0" w:evenVBand="0" w:oddHBand="1" w:evenHBand="0" w:firstRowFirstColumn="0" w:firstRowLastColumn="0" w:lastRowFirstColumn="0" w:lastRowLastColumn="0"/>
              <w:rPr>
                <w:sz w:val="22"/>
                <w:lang w:eastAsia="en-IE"/>
              </w:rPr>
            </w:pPr>
            <w:r w:rsidRPr="00A75391">
              <w:rPr>
                <w:sz w:val="22"/>
                <w:lang w:eastAsia="en-IE"/>
              </w:rPr>
              <w:t>5</w:t>
            </w:r>
            <w:r w:rsidR="00AB711B">
              <w:rPr>
                <w:sz w:val="22"/>
                <w:lang w:eastAsia="en-IE"/>
              </w:rPr>
              <w:t>.2</w:t>
            </w:r>
            <w:r w:rsidRPr="00A75391">
              <w:rPr>
                <w:sz w:val="22"/>
                <w:lang w:eastAsia="en-IE"/>
              </w:rPr>
              <w:t xml:space="preserve"> km north</w:t>
            </w:r>
            <w:r w:rsidR="00AB711B">
              <w:rPr>
                <w:sz w:val="22"/>
                <w:lang w:eastAsia="en-IE"/>
              </w:rPr>
              <w:t>-west</w:t>
            </w:r>
          </w:p>
        </w:tc>
        <w:tc>
          <w:tcPr>
            <w:tcW w:w="3166" w:type="pct"/>
            <w:tcBorders>
              <w:left w:val="none" w:sz="0" w:space="0" w:color="auto"/>
            </w:tcBorders>
            <w:noWrap/>
          </w:tcPr>
          <w:p w14:paraId="426F7F61" w14:textId="77777777" w:rsidR="00A75391" w:rsidRPr="00A75391" w:rsidRDefault="00A75391" w:rsidP="00A75391">
            <w:pPr>
              <w:pStyle w:val="Tabletext"/>
              <w:cnfStyle w:val="000000100000" w:firstRow="0" w:lastRow="0" w:firstColumn="0" w:lastColumn="0" w:oddVBand="0" w:evenVBand="0" w:oddHBand="1" w:evenHBand="0" w:firstRowFirstColumn="0" w:firstRowLastColumn="0" w:lastRowFirstColumn="0" w:lastRowLastColumn="0"/>
              <w:rPr>
                <w:b/>
                <w:sz w:val="22"/>
                <w:lang w:eastAsia="en-IE"/>
              </w:rPr>
            </w:pPr>
            <w:r w:rsidRPr="00A75391">
              <w:rPr>
                <w:b/>
                <w:sz w:val="22"/>
                <w:lang w:eastAsia="en-IE"/>
              </w:rPr>
              <w:t xml:space="preserve">Annex I habitats: </w:t>
            </w:r>
            <w:r w:rsidRPr="00A75391">
              <w:rPr>
                <w:bCs/>
                <w:sz w:val="22"/>
                <w:lang w:eastAsia="en-IE"/>
              </w:rPr>
              <w:t xml:space="preserve">Petrifying springs with tufa formation </w:t>
            </w:r>
          </w:p>
          <w:p w14:paraId="1065AF4F" w14:textId="4A768148" w:rsidR="00A75391" w:rsidRPr="00A75391" w:rsidRDefault="00A75391" w:rsidP="00A75391">
            <w:pPr>
              <w:pStyle w:val="Tabletext"/>
              <w:cnfStyle w:val="000000100000" w:firstRow="0" w:lastRow="0" w:firstColumn="0" w:lastColumn="0" w:oddVBand="0" w:evenVBand="0" w:oddHBand="1" w:evenHBand="0" w:firstRowFirstColumn="0" w:firstRowLastColumn="0" w:lastRowFirstColumn="0" w:lastRowLastColumn="0"/>
              <w:rPr>
                <w:sz w:val="22"/>
                <w:lang w:eastAsia="en-IE"/>
              </w:rPr>
            </w:pPr>
            <w:r w:rsidRPr="00A75391">
              <w:rPr>
                <w:b/>
                <w:sz w:val="22"/>
                <w:lang w:eastAsia="en-IE"/>
              </w:rPr>
              <w:t xml:space="preserve">Annex II species: </w:t>
            </w:r>
            <w:r w:rsidRPr="00A75391">
              <w:rPr>
                <w:bCs/>
                <w:sz w:val="22"/>
                <w:lang w:eastAsia="en-IE"/>
              </w:rPr>
              <w:t xml:space="preserve">Narrow-mouthed Whorl Snail </w:t>
            </w:r>
            <w:r w:rsidRPr="00A75391">
              <w:rPr>
                <w:bCs/>
                <w:i/>
                <w:iCs/>
                <w:sz w:val="22"/>
                <w:lang w:eastAsia="en-IE"/>
              </w:rPr>
              <w:t>Vertigo angustior</w:t>
            </w:r>
            <w:r w:rsidRPr="00A75391">
              <w:rPr>
                <w:bCs/>
                <w:sz w:val="22"/>
                <w:lang w:eastAsia="en-IE"/>
              </w:rPr>
              <w:t xml:space="preserve">, Desmoulin's Whorl Snail </w:t>
            </w:r>
            <w:r w:rsidRPr="00A75391">
              <w:rPr>
                <w:bCs/>
                <w:i/>
                <w:iCs/>
                <w:sz w:val="22"/>
                <w:lang w:eastAsia="en-IE"/>
              </w:rPr>
              <w:t>Vertigo moulinsiana</w:t>
            </w:r>
          </w:p>
        </w:tc>
      </w:tr>
    </w:tbl>
    <w:p w14:paraId="05A6999F" w14:textId="77777777" w:rsidR="006B4AC1" w:rsidRDefault="006B4AC1" w:rsidP="00D43478">
      <w:pPr>
        <w:spacing w:before="360"/>
      </w:pPr>
      <w:r>
        <w:t xml:space="preserve">The Conservation Objectives of all European sites discussed in this report are available at </w:t>
      </w:r>
      <w:r w:rsidRPr="00805E71">
        <w:t>https://www.npws.ie/protected-sites</w:t>
      </w:r>
      <w:r>
        <w:t>. They are lengthy and repetitive documents, so in the interests of brevity they are not reproduced here.</w:t>
      </w:r>
    </w:p>
    <w:bookmarkEnd w:id="6"/>
    <w:bookmarkEnd w:id="7"/>
    <w:p w14:paraId="3A0A6FF9" w14:textId="4B5A0FD6" w:rsidR="00665EF9" w:rsidRDefault="0082577F" w:rsidP="00665EF9">
      <w:pPr>
        <w:ind w:left="0"/>
      </w:pPr>
      <w:r>
        <w:rPr>
          <w:noProof/>
        </w:rPr>
        <w:lastRenderedPageBreak/>
        <w:drawing>
          <wp:inline distT="0" distB="0" distL="0" distR="0" wp14:anchorId="591E5AD5" wp14:editId="654B1D46">
            <wp:extent cx="5731510" cy="8104505"/>
            <wp:effectExtent l="0" t="0" r="2540" b="0"/>
            <wp:docPr id="822230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230587" name="Picture 82223058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8104505"/>
                    </a:xfrm>
                    <a:prstGeom prst="rect">
                      <a:avLst/>
                    </a:prstGeom>
                  </pic:spPr>
                </pic:pic>
              </a:graphicData>
            </a:graphic>
          </wp:inline>
        </w:drawing>
      </w:r>
    </w:p>
    <w:p w14:paraId="2A0F8E9D" w14:textId="77777777" w:rsidR="00785777" w:rsidRDefault="00785777" w:rsidP="00665EF9">
      <w:pPr>
        <w:ind w:left="0"/>
      </w:pPr>
    </w:p>
    <w:p w14:paraId="22FBEC32" w14:textId="77777777" w:rsidR="00785777" w:rsidRDefault="00785777" w:rsidP="00785777">
      <w:pPr>
        <w:pStyle w:val="Heading2"/>
      </w:pPr>
      <w:r w:rsidRPr="00127016">
        <w:lastRenderedPageBreak/>
        <w:t>European sites within the Site boundary (potential direct effects)</w:t>
      </w:r>
    </w:p>
    <w:p w14:paraId="35A1071E" w14:textId="77777777" w:rsidR="00785777" w:rsidRDefault="00785777" w:rsidP="00785777">
      <w:r>
        <w:t>The Site is not within or adjacent to any European sites (Figure 1). Therefore, the proposed development poses no risk of direct impacts on any European sites.</w:t>
      </w:r>
    </w:p>
    <w:p w14:paraId="3799469A" w14:textId="77777777" w:rsidR="005E44DC" w:rsidRPr="00D84EBC" w:rsidRDefault="005E44DC" w:rsidP="005E44DC">
      <w:pPr>
        <w:pStyle w:val="Heading2"/>
      </w:pPr>
      <w:r w:rsidRPr="00D84EBC">
        <w:t>European sites outside the Site boundary (potential indirect effects)</w:t>
      </w:r>
    </w:p>
    <w:p w14:paraId="568E219E" w14:textId="0E365B1D" w:rsidR="00022D52" w:rsidRDefault="005E44DC" w:rsidP="005E44DC">
      <w:r>
        <w:t xml:space="preserve">In this section we identify potential </w:t>
      </w:r>
      <w:r w:rsidRPr="00092B0C">
        <w:rPr>
          <w:i/>
          <w:iCs/>
        </w:rPr>
        <w:t>pathways</w:t>
      </w:r>
      <w:r>
        <w:t xml:space="preserve"> (e.g. surface water) between the </w:t>
      </w:r>
      <w:r w:rsidRPr="00092B0C">
        <w:rPr>
          <w:i/>
          <w:iCs/>
        </w:rPr>
        <w:t>source</w:t>
      </w:r>
      <w:r>
        <w:t xml:space="preserve"> (the Site) and the </w:t>
      </w:r>
      <w:r w:rsidRPr="00092B0C">
        <w:rPr>
          <w:i/>
          <w:iCs/>
        </w:rPr>
        <w:t>receptor</w:t>
      </w:r>
      <w:r>
        <w:t xml:space="preserve"> (a European site). The most common pathway is surface water, which typically occurs when a pollutant is washed into a river and carried downstream into a European site. Other potential pathways are groundwater, air (e.g. airborne dust or sound waves), or land (e.g. flow of liquids, vibration). The zone of effect for hydrological effects can be several kilometres, but for air and land it is rarely more than one hundred metres.</w:t>
      </w:r>
    </w:p>
    <w:p w14:paraId="7338B15A" w14:textId="77777777" w:rsidR="00A75391" w:rsidRPr="00D84EBC" w:rsidRDefault="00A75391" w:rsidP="00A75391">
      <w:pPr>
        <w:pStyle w:val="Heading3"/>
      </w:pPr>
      <w:r w:rsidRPr="00D84EBC">
        <w:t>Surface water</w:t>
      </w:r>
    </w:p>
    <w:p w14:paraId="60F8B777" w14:textId="77777777" w:rsidR="00A75391" w:rsidRDefault="00A75391" w:rsidP="00A75391">
      <w:r>
        <w:t xml:space="preserve">There are no rivers or streams within or adjacent to the Site (refer to Section 2.1 and Figure 1), so surface water can be ruled out as a pathway to any European sites. </w:t>
      </w:r>
    </w:p>
    <w:p w14:paraId="080D1AFD" w14:textId="30C56A85" w:rsidR="001055D7" w:rsidRPr="00D84EBC" w:rsidRDefault="001055D7" w:rsidP="001055D7">
      <w:pPr>
        <w:pStyle w:val="Heading3"/>
      </w:pPr>
      <w:r w:rsidRPr="00D84EBC">
        <w:t>Groundwater</w:t>
      </w:r>
    </w:p>
    <w:p w14:paraId="63ACE19E" w14:textId="600C9A23" w:rsidR="001055D7" w:rsidRDefault="00A3701E" w:rsidP="001055D7">
      <w:r>
        <w:t xml:space="preserve">If any pollutants soaked to ground within the Site, they would </w:t>
      </w:r>
      <w:r w:rsidR="006B4AC1">
        <w:t xml:space="preserve">have to pass through </w:t>
      </w:r>
      <w:r w:rsidR="00A75391">
        <w:t>5</w:t>
      </w:r>
      <w:r w:rsidR="00AB711B">
        <w:t>.2</w:t>
      </w:r>
      <w:r w:rsidR="00A75391">
        <w:t xml:space="preserve"> </w:t>
      </w:r>
      <w:r w:rsidR="006B4AC1">
        <w:t>k</w:t>
      </w:r>
      <w:r>
        <w:t xml:space="preserve">m of intervening subsoils / bedrock before reaching the </w:t>
      </w:r>
      <w:r w:rsidR="00C62B0A" w:rsidRPr="00C62B0A">
        <w:rPr>
          <w:i/>
          <w:iCs/>
          <w:lang w:eastAsia="en-IE"/>
        </w:rPr>
        <w:t>Rye Water Valley</w:t>
      </w:r>
      <w:r w:rsidR="00C62B0A">
        <w:rPr>
          <w:i/>
          <w:iCs/>
          <w:lang w:eastAsia="en-IE"/>
        </w:rPr>
        <w:t xml:space="preserve"> </w:t>
      </w:r>
      <w:r w:rsidR="00C62B0A" w:rsidRPr="00C62B0A">
        <w:rPr>
          <w:i/>
          <w:iCs/>
          <w:lang w:eastAsia="en-IE"/>
        </w:rPr>
        <w:t>/</w:t>
      </w:r>
      <w:r w:rsidR="00C62B0A">
        <w:rPr>
          <w:i/>
          <w:iCs/>
          <w:lang w:eastAsia="en-IE"/>
        </w:rPr>
        <w:t xml:space="preserve"> </w:t>
      </w:r>
      <w:r w:rsidR="00C62B0A" w:rsidRPr="00C62B0A">
        <w:rPr>
          <w:i/>
          <w:iCs/>
          <w:lang w:eastAsia="en-IE"/>
        </w:rPr>
        <w:t>Carton</w:t>
      </w:r>
      <w:r w:rsidR="00C62B0A" w:rsidRPr="009D490D">
        <w:rPr>
          <w:lang w:eastAsia="en-IE"/>
        </w:rPr>
        <w:t xml:space="preserve"> SAC</w:t>
      </w:r>
      <w:r w:rsidR="00141DF5">
        <w:t>. This would</w:t>
      </w:r>
      <w:r>
        <w:t xml:space="preserve"> reduce </w:t>
      </w:r>
      <w:r w:rsidR="00141DF5">
        <w:t xml:space="preserve">any pollutants </w:t>
      </w:r>
      <w:r>
        <w:t>to negligible concentrations</w:t>
      </w:r>
      <w:r w:rsidR="00141DF5">
        <w:t xml:space="preserve"> before reaching the SAC,</w:t>
      </w:r>
      <w:r w:rsidR="00030183">
        <w:t xml:space="preserve"> in which case they would pose no risk of impacts. Therefore, </w:t>
      </w:r>
      <w:r w:rsidR="00CA676E">
        <w:t xml:space="preserve">groundwater </w:t>
      </w:r>
      <w:r w:rsidR="00CA205C">
        <w:t xml:space="preserve">can be ruled out as </w:t>
      </w:r>
      <w:r w:rsidR="00CA676E">
        <w:t>a feasible pathway.</w:t>
      </w:r>
    </w:p>
    <w:p w14:paraId="7A586281" w14:textId="77777777" w:rsidR="001055D7" w:rsidRPr="00D84EBC" w:rsidRDefault="001055D7" w:rsidP="001055D7">
      <w:pPr>
        <w:pStyle w:val="Heading3"/>
      </w:pPr>
      <w:r w:rsidRPr="00D84EBC">
        <w:t xml:space="preserve">Land </w:t>
      </w:r>
    </w:p>
    <w:p w14:paraId="6658BB68" w14:textId="539A50CF" w:rsidR="00CA205C" w:rsidRDefault="0033486B" w:rsidP="00A819E9">
      <w:r>
        <w:t xml:space="preserve">There is no risk that any pollutants could </w:t>
      </w:r>
      <w:r w:rsidR="00EF2626">
        <w:t>flow</w:t>
      </w:r>
      <w:r w:rsidR="003218B7">
        <w:t xml:space="preserve"> </w:t>
      </w:r>
      <w:r>
        <w:t>5</w:t>
      </w:r>
      <w:r w:rsidR="003218B7">
        <w:t>.2</w:t>
      </w:r>
      <w:r>
        <w:t xml:space="preserve"> km </w:t>
      </w:r>
      <w:r w:rsidR="00EF2626">
        <w:t xml:space="preserve">over land to reach the </w:t>
      </w:r>
      <w:r>
        <w:t>SAC</w:t>
      </w:r>
      <w:r w:rsidR="005077FE">
        <w:t>.</w:t>
      </w:r>
    </w:p>
    <w:p w14:paraId="7DF18A72" w14:textId="77777777" w:rsidR="001055D7" w:rsidRPr="00D84EBC" w:rsidRDefault="001055D7" w:rsidP="001055D7">
      <w:pPr>
        <w:pStyle w:val="Heading3"/>
      </w:pPr>
      <w:r w:rsidRPr="00D84EBC">
        <w:t>Air</w:t>
      </w:r>
    </w:p>
    <w:p w14:paraId="58308BCB" w14:textId="360BE957" w:rsidR="00A819E9" w:rsidRDefault="00C62B0A" w:rsidP="0033486B">
      <w:r>
        <w:t xml:space="preserve">The only potential airborne pollutant generated at the Site would be dust. There is no risk that </w:t>
      </w:r>
      <w:r w:rsidR="0033486B">
        <w:t xml:space="preserve">any perceptible quantity of dust could be carried </w:t>
      </w:r>
      <w:r>
        <w:t>5</w:t>
      </w:r>
      <w:r w:rsidR="003218B7">
        <w:t>.2</w:t>
      </w:r>
      <w:r w:rsidR="006B4AC1">
        <w:t xml:space="preserve"> km</w:t>
      </w:r>
      <w:r w:rsidR="00A819E9">
        <w:t xml:space="preserve"> </w:t>
      </w:r>
      <w:r w:rsidR="0033486B">
        <w:t>to the SAC</w:t>
      </w:r>
      <w:r w:rsidR="00A819E9">
        <w:t>.</w:t>
      </w:r>
    </w:p>
    <w:p w14:paraId="2F980F37" w14:textId="77777777" w:rsidR="001055D7" w:rsidRPr="00D84EBC" w:rsidRDefault="001055D7" w:rsidP="001055D7">
      <w:pPr>
        <w:pStyle w:val="Heading3"/>
      </w:pPr>
      <w:r w:rsidRPr="00D84EBC">
        <w:t>Summary</w:t>
      </w:r>
    </w:p>
    <w:p w14:paraId="04DDE14A" w14:textId="523FF1D9" w:rsidR="003773E0" w:rsidRPr="00582DE6" w:rsidRDefault="001055D7" w:rsidP="00582DE6">
      <w:pPr>
        <w:rPr>
          <w:highlight w:val="green"/>
        </w:rPr>
      </w:pPr>
      <w:r w:rsidRPr="00D84EBC">
        <w:t xml:space="preserve">In summary, </w:t>
      </w:r>
      <w:r w:rsidR="00FA22AC">
        <w:t>no feasible pathways were identified between the Site and any European sites</w:t>
      </w:r>
      <w:r>
        <w:t>.</w:t>
      </w:r>
    </w:p>
    <w:p w14:paraId="63401696" w14:textId="3485363F" w:rsidR="00E01594" w:rsidRDefault="00CF4C88" w:rsidP="00CF4C88">
      <w:pPr>
        <w:pStyle w:val="Heading2"/>
      </w:pPr>
      <w:r>
        <w:t>Habitat suitability for SPA birds</w:t>
      </w:r>
    </w:p>
    <w:p w14:paraId="630968FD" w14:textId="0E93CE7A" w:rsidR="0009690D" w:rsidRDefault="001B0330" w:rsidP="00785777">
      <w:pPr>
        <w:rPr>
          <w:lang w:eastAsia="en-IE"/>
        </w:rPr>
      </w:pPr>
      <w:r>
        <w:t xml:space="preserve">There are no SPAs in the vicinity of the Site. The closest is the </w:t>
      </w:r>
      <w:r w:rsidR="00C41B98">
        <w:rPr>
          <w:i/>
          <w:iCs/>
        </w:rPr>
        <w:t>Wicklow Mountains</w:t>
      </w:r>
      <w:r w:rsidR="00EB3A4C" w:rsidRPr="00EB3A4C">
        <w:rPr>
          <w:i/>
          <w:iCs/>
        </w:rPr>
        <w:t xml:space="preserve"> </w:t>
      </w:r>
      <w:r>
        <w:t xml:space="preserve">SPA, which is located approx. </w:t>
      </w:r>
      <w:r w:rsidR="00EB3A4C">
        <w:t>1</w:t>
      </w:r>
      <w:r w:rsidR="00C41B98">
        <w:t>4</w:t>
      </w:r>
      <w:r>
        <w:t xml:space="preserve"> km </w:t>
      </w:r>
      <w:r w:rsidR="00EB3A4C">
        <w:t xml:space="preserve">south </w:t>
      </w:r>
      <w:r>
        <w:t>of the Site</w:t>
      </w:r>
      <w:r w:rsidR="00380BC8">
        <w:t>, and was designated to protect</w:t>
      </w:r>
      <w:r w:rsidR="008C3898">
        <w:t xml:space="preserve"> </w:t>
      </w:r>
      <w:r w:rsidR="00C41B98">
        <w:t>peregrine and merlin</w:t>
      </w:r>
      <w:r>
        <w:t xml:space="preserve">. Habitats within the Site are </w:t>
      </w:r>
      <w:r w:rsidR="008C3898">
        <w:t>un</w:t>
      </w:r>
      <w:r>
        <w:t>suitable for either of these species. Therefore, the Site is of no importance for any SPA bird species</w:t>
      </w:r>
      <w:r w:rsidR="00AF7396">
        <w:rPr>
          <w:lang w:eastAsia="en-IE"/>
        </w:rPr>
        <w:t>.</w:t>
      </w:r>
    </w:p>
    <w:p w14:paraId="72B2F23B" w14:textId="77777777" w:rsidR="00B6597A" w:rsidRPr="00853D5E" w:rsidRDefault="00B6597A" w:rsidP="00853D5E">
      <w:pPr>
        <w:pStyle w:val="Heading1"/>
      </w:pPr>
      <w:r w:rsidRPr="00853D5E">
        <w:lastRenderedPageBreak/>
        <w:t>Screening Statement</w:t>
      </w:r>
    </w:p>
    <w:p w14:paraId="511D16A1" w14:textId="190814AD" w:rsidR="001C05DE" w:rsidRDefault="001C05DE" w:rsidP="001C05DE">
      <w:pPr>
        <w:spacing w:before="240"/>
      </w:pPr>
      <w:bookmarkStart w:id="8" w:name="_Toc379878998"/>
      <w:bookmarkStart w:id="9" w:name="_Toc389121940"/>
      <w:bookmarkStart w:id="10" w:name="_Toc417546120"/>
      <w:r>
        <w:t xml:space="preserve">In Section </w:t>
      </w:r>
      <w:r w:rsidR="00B070A8">
        <w:t>3 of</w:t>
      </w:r>
      <w:r>
        <w:t xml:space="preserve"> </w:t>
      </w:r>
      <w:r w:rsidR="00B070A8">
        <w:t xml:space="preserve">the OPR </w:t>
      </w:r>
      <w:r w:rsidR="003F49F2">
        <w:t>guidance</w:t>
      </w:r>
      <w:r>
        <w:rPr>
          <w:i/>
        </w:rPr>
        <w:t xml:space="preserve"> </w:t>
      </w:r>
      <w:r w:rsidRPr="00D3772F">
        <w:rPr>
          <w:iCs/>
        </w:rPr>
        <w:t>(</w:t>
      </w:r>
      <w:r w:rsidR="003F49F2">
        <w:rPr>
          <w:iCs/>
        </w:rPr>
        <w:t xml:space="preserve">OPR </w:t>
      </w:r>
      <w:r>
        <w:rPr>
          <w:iCs/>
        </w:rPr>
        <w:t>20</w:t>
      </w:r>
      <w:r w:rsidR="003F49F2">
        <w:rPr>
          <w:iCs/>
        </w:rPr>
        <w:t>21</w:t>
      </w:r>
      <w:r w:rsidRPr="00D3772F">
        <w:rPr>
          <w:iCs/>
        </w:rPr>
        <w:t>)</w:t>
      </w:r>
      <w:r>
        <w:t xml:space="preserve">, it is stated that the first stage of the AA process can have </w:t>
      </w:r>
      <w:r w:rsidR="003F49F2">
        <w:t xml:space="preserve">two </w:t>
      </w:r>
      <w:r>
        <w:t>possible conclusions:</w:t>
      </w:r>
    </w:p>
    <w:p w14:paraId="63F9F939" w14:textId="135FE1CF" w:rsidR="001C05DE" w:rsidRPr="005E395E" w:rsidRDefault="00B070A8" w:rsidP="001C05DE">
      <w:pPr>
        <w:pStyle w:val="ListParagraph"/>
        <w:numPr>
          <w:ilvl w:val="0"/>
          <w:numId w:val="43"/>
        </w:numPr>
        <w:spacing w:after="240"/>
        <w:ind w:left="1281" w:hanging="357"/>
        <w:rPr>
          <w:b/>
          <w:bCs/>
        </w:rPr>
      </w:pPr>
      <w:r w:rsidRPr="00B070A8">
        <w:rPr>
          <w:b/>
          <w:bCs/>
        </w:rPr>
        <w:t>No likelihood of significant effects</w:t>
      </w:r>
    </w:p>
    <w:p w14:paraId="0E268885" w14:textId="683BF263" w:rsidR="00815DA3" w:rsidRDefault="00B070A8" w:rsidP="00515A25">
      <w:pPr>
        <w:pStyle w:val="ListParagraph"/>
        <w:spacing w:after="240"/>
        <w:ind w:left="1287"/>
        <w:contextualSpacing w:val="0"/>
      </w:pPr>
      <w:r>
        <w:t>Appropriate assessment is not required and the planning application can proceed as normal. Documentation of the screening process including conclusions reached and the basis on which decisions were made must be kept on the planning file</w:t>
      </w:r>
      <w:r w:rsidR="001C05DE">
        <w:t>.</w:t>
      </w:r>
    </w:p>
    <w:p w14:paraId="77678183" w14:textId="60667FDD" w:rsidR="001C05DE" w:rsidRPr="005E395E" w:rsidRDefault="00B070A8" w:rsidP="001C05DE">
      <w:pPr>
        <w:pStyle w:val="ListParagraph"/>
        <w:numPr>
          <w:ilvl w:val="0"/>
          <w:numId w:val="43"/>
        </w:numPr>
        <w:spacing w:after="0"/>
        <w:ind w:left="1281" w:hanging="357"/>
        <w:contextualSpacing w:val="0"/>
        <w:rPr>
          <w:b/>
          <w:bCs/>
        </w:rPr>
      </w:pPr>
      <w:r w:rsidRPr="00B070A8">
        <w:rPr>
          <w:b/>
          <w:bCs/>
        </w:rPr>
        <w:t>Significant effects cannot be excluded</w:t>
      </w:r>
    </w:p>
    <w:p w14:paraId="365BEFB4" w14:textId="1FAD7CAA" w:rsidR="001C05DE" w:rsidRDefault="00B070A8" w:rsidP="003F49F2">
      <w:pPr>
        <w:pStyle w:val="ListParagraph"/>
        <w:spacing w:after="360"/>
        <w:ind w:left="1287"/>
        <w:contextualSpacing w:val="0"/>
      </w:pPr>
      <w:r>
        <w:t>Appropriate assessment is required before permission can be granted. A Natura Impact Statement (NIS) will be required in order for the project to proceed</w:t>
      </w:r>
      <w:r w:rsidR="001C05DE">
        <w:t xml:space="preserve">. </w:t>
      </w:r>
    </w:p>
    <w:p w14:paraId="191ED969" w14:textId="77777777" w:rsidR="00F16FA8" w:rsidRDefault="001C05DE" w:rsidP="00F16FA8">
      <w:pPr>
        <w:pStyle w:val="Bulletleader"/>
      </w:pPr>
      <w:r>
        <w:t xml:space="preserve">Having considered the particulars of the proposed development, we conclude that this application meets the </w:t>
      </w:r>
      <w:r w:rsidR="003F49F2">
        <w:t>first</w:t>
      </w:r>
      <w:r>
        <w:t xml:space="preserve"> conclusion, because there is no </w:t>
      </w:r>
      <w:r w:rsidR="00115008">
        <w:t xml:space="preserve">likelihood </w:t>
      </w:r>
      <w:r>
        <w:t xml:space="preserve">of </w:t>
      </w:r>
      <w:r w:rsidR="00115008">
        <w:t xml:space="preserve">significant </w:t>
      </w:r>
      <w:r>
        <w:t xml:space="preserve">impacts on any </w:t>
      </w:r>
      <w:r w:rsidR="00167573">
        <w:t>European</w:t>
      </w:r>
      <w:r>
        <w:t xml:space="preserve"> sites.</w:t>
      </w:r>
      <w:r w:rsidR="00F16FA8">
        <w:t xml:space="preserve"> This is based on three key conclusions:</w:t>
      </w:r>
    </w:p>
    <w:p w14:paraId="69C7A13F" w14:textId="5B79E71B" w:rsidR="00F16FA8" w:rsidRDefault="00F16FA8" w:rsidP="00F16FA8">
      <w:pPr>
        <w:pStyle w:val="Bulletlist"/>
      </w:pPr>
      <w:r>
        <w:t>The</w:t>
      </w:r>
      <w:r w:rsidR="008D38A9">
        <w:t xml:space="preserve"> Site is not within or adjacent to any European sites, so there is no risk of direct effects</w:t>
      </w:r>
    </w:p>
    <w:p w14:paraId="0469C4E3" w14:textId="34DA4858" w:rsidR="008D38A9" w:rsidRDefault="008D38A9" w:rsidP="00F16FA8">
      <w:pPr>
        <w:pStyle w:val="Bulletlist"/>
      </w:pPr>
      <w:r>
        <w:t xml:space="preserve">There are no </w:t>
      </w:r>
      <w:r w:rsidR="002805AC">
        <w:t xml:space="preserve">surface water </w:t>
      </w:r>
      <w:r w:rsidR="00063B0E">
        <w:t>(</w:t>
      </w:r>
      <w:r w:rsidR="002805AC">
        <w:t>or other</w:t>
      </w:r>
      <w:r w:rsidR="00063B0E">
        <w:t>)</w:t>
      </w:r>
      <w:r w:rsidR="002805AC">
        <w:t xml:space="preserve"> pathways linking the Site to any European sites, so there is no risk of indirect effects </w:t>
      </w:r>
    </w:p>
    <w:p w14:paraId="1BAD2579" w14:textId="3B8D9355" w:rsidR="002805AC" w:rsidRDefault="00063B0E" w:rsidP="00F16FA8">
      <w:pPr>
        <w:pStyle w:val="Bulletlist"/>
      </w:pPr>
      <w:r>
        <w:t>There are no SPAs in the vicinity of the Site</w:t>
      </w:r>
    </w:p>
    <w:p w14:paraId="0F4637E2" w14:textId="6191BB1A" w:rsidR="00586874" w:rsidRDefault="00EB70CC" w:rsidP="000153D0">
      <w:r>
        <w:t xml:space="preserve">Appropriate Assessment Screening </w:t>
      </w:r>
      <w:r w:rsidR="00586874">
        <w:t>must consider the potential implications of a project both in isolation and in</w:t>
      </w:r>
      <w:r w:rsidR="00953932">
        <w:t xml:space="preserve"> </w:t>
      </w:r>
      <w:r w:rsidR="00586874">
        <w:t xml:space="preserve">combination with other plans and projects in the surrounding area. </w:t>
      </w:r>
      <w:r>
        <w:t>A</w:t>
      </w:r>
      <w:r w:rsidR="00586874">
        <w:t xml:space="preserve">n ‘in-combination effect’ can occur when a project will have a perceptible but non-significant </w:t>
      </w:r>
      <w:r w:rsidR="00AD3A4C">
        <w:t xml:space="preserve">residual </w:t>
      </w:r>
      <w:r w:rsidR="00586874">
        <w:t xml:space="preserve">effect on a European site (when considered in isolation), that subsequently becomes significant when the additive effects of other plans and projects are considered. However, </w:t>
      </w:r>
      <w:r w:rsidR="000153D0">
        <w:t xml:space="preserve">as </w:t>
      </w:r>
      <w:r w:rsidR="00586874">
        <w:t>the proposed development poses no risk of impacts on European sites</w:t>
      </w:r>
      <w:r w:rsidR="000153D0">
        <w:t xml:space="preserve"> in isolation</w:t>
      </w:r>
      <w:r w:rsidR="00586874">
        <w:t>, the risk of in-combination effects can also be ruled out.</w:t>
      </w:r>
    </w:p>
    <w:p w14:paraId="53CF9360" w14:textId="60CD8058" w:rsidR="001C05DE" w:rsidRDefault="00182EC6" w:rsidP="00272C33">
      <w:r w:rsidRPr="00182EC6">
        <w:t xml:space="preserve">Therefore, with regard to Article 42 (7) of the </w:t>
      </w:r>
      <w:r w:rsidRPr="00993F1B">
        <w:rPr>
          <w:i/>
          <w:iCs/>
        </w:rPr>
        <w:t>European Communities (Birds and Natural Habitats) Regulations</w:t>
      </w:r>
      <w:r w:rsidRPr="00182EC6">
        <w:t xml:space="preserve"> 2011, it can be concluded that the proposed development will not be likely to have a significant effect on any European sites</w:t>
      </w:r>
      <w:r>
        <w:t xml:space="preserve">. </w:t>
      </w:r>
      <w:r w:rsidR="000153D0">
        <w:t>On this basis</w:t>
      </w:r>
      <w:r w:rsidR="001C05DE">
        <w:t xml:space="preserve">, </w:t>
      </w:r>
      <w:r w:rsidR="00272C33">
        <w:t>the assessment can conclude at Stage 1 of the Appropriate Assessment process, and it is not necessary to proceed to Stage 2.</w:t>
      </w:r>
      <w:r w:rsidR="001C05DE">
        <w:t xml:space="preserve"> </w:t>
      </w:r>
    </w:p>
    <w:p w14:paraId="66FD5250" w14:textId="62E425B4" w:rsidR="00C75325" w:rsidRPr="00B070A8" w:rsidRDefault="001C05DE" w:rsidP="00B070A8">
      <w:r>
        <w:t>In accordance with the OPR 2021 guidance, we note that no mitigation measures have been considered when reaching this conclusion.</w:t>
      </w:r>
      <w:r w:rsidR="002140E6">
        <w:t xml:space="preserve"> </w:t>
      </w:r>
    </w:p>
    <w:p w14:paraId="72B2F23E" w14:textId="74D6941F" w:rsidR="007D1E7C" w:rsidRPr="007D1E7C" w:rsidRDefault="007D1E7C" w:rsidP="007D1E7C">
      <w:pPr>
        <w:pStyle w:val="Heading1"/>
        <w:numPr>
          <w:ilvl w:val="0"/>
          <w:numId w:val="0"/>
        </w:numPr>
        <w:ind w:left="567"/>
      </w:pPr>
      <w:r w:rsidRPr="007D1E7C">
        <w:lastRenderedPageBreak/>
        <w:t>References</w:t>
      </w:r>
      <w:bookmarkEnd w:id="8"/>
      <w:bookmarkEnd w:id="9"/>
      <w:bookmarkEnd w:id="10"/>
    </w:p>
    <w:p w14:paraId="72B2F23F" w14:textId="0AD360CA" w:rsidR="001A59CE" w:rsidRDefault="001A59CE" w:rsidP="007D1E7C">
      <w:pPr>
        <w:spacing w:line="240" w:lineRule="auto"/>
      </w:pPr>
      <w:r w:rsidRPr="001A59CE">
        <w:t>Chartered Institute of Ecology and Environmental Management, 201</w:t>
      </w:r>
      <w:r w:rsidR="00C746D2">
        <w:t>8</w:t>
      </w:r>
      <w:r w:rsidRPr="001A59CE">
        <w:t xml:space="preserve">. </w:t>
      </w:r>
      <w:r w:rsidRPr="001A59CE">
        <w:rPr>
          <w:i/>
        </w:rPr>
        <w:t>Guidelines for Ecological Impact Assessment in the U.K and Ireland: Terrestrial, Freshwater</w:t>
      </w:r>
      <w:r w:rsidR="00C746D2">
        <w:rPr>
          <w:i/>
        </w:rPr>
        <w:t>,</w:t>
      </w:r>
      <w:r w:rsidRPr="001A59CE">
        <w:rPr>
          <w:i/>
        </w:rPr>
        <w:t xml:space="preserve"> Coastal</w:t>
      </w:r>
      <w:r w:rsidRPr="001A59CE">
        <w:t xml:space="preserve"> </w:t>
      </w:r>
      <w:r w:rsidR="00C746D2" w:rsidRPr="00C746D2">
        <w:rPr>
          <w:i/>
          <w:iCs/>
        </w:rPr>
        <w:t>and Marine</w:t>
      </w:r>
      <w:r w:rsidR="00C746D2">
        <w:t xml:space="preserve"> </w:t>
      </w:r>
      <w:r w:rsidRPr="001A59CE">
        <w:t>(2</w:t>
      </w:r>
      <w:r w:rsidRPr="00C746D2">
        <w:rPr>
          <w:vertAlign w:val="superscript"/>
        </w:rPr>
        <w:t>nd</w:t>
      </w:r>
      <w:r w:rsidR="00C746D2">
        <w:t xml:space="preserve"> </w:t>
      </w:r>
      <w:r w:rsidRPr="001A59CE">
        <w:t>Edition). C.I.E.E.M., Hampshire, England.</w:t>
      </w:r>
    </w:p>
    <w:p w14:paraId="72B2F240" w14:textId="77777777" w:rsidR="007D1E7C" w:rsidRPr="00896DB2" w:rsidRDefault="007D1E7C" w:rsidP="007D1E7C">
      <w:pPr>
        <w:spacing w:line="240" w:lineRule="auto"/>
      </w:pPr>
      <w:r w:rsidRPr="00896DB2">
        <w:t>Department of the Environment, Heritage and Local Government, 2009.</w:t>
      </w:r>
      <w:r w:rsidRPr="00896DB2">
        <w:rPr>
          <w:i/>
        </w:rPr>
        <w:t xml:space="preserve"> Appropriate Assessment of Plans and Projects in Ireland.</w:t>
      </w:r>
      <w:r w:rsidRPr="00896DB2">
        <w:t xml:space="preserve"> National Parks and Wildlife Service, DAHG, Dublin, Ireland.</w:t>
      </w:r>
    </w:p>
    <w:p w14:paraId="72B2F242" w14:textId="763B91D7" w:rsidR="007D1E7C" w:rsidRDefault="007D1E7C" w:rsidP="00E41C32">
      <w:pPr>
        <w:spacing w:line="240" w:lineRule="auto"/>
      </w:pPr>
      <w:r w:rsidRPr="00896DB2">
        <w:t>European Commission. 20</w:t>
      </w:r>
      <w:r w:rsidR="00C746D2">
        <w:t>20</w:t>
      </w:r>
      <w:r w:rsidRPr="00896DB2">
        <w:t xml:space="preserve">. </w:t>
      </w:r>
      <w:r w:rsidRPr="00896DB2">
        <w:rPr>
          <w:i/>
        </w:rPr>
        <w:t>Assessment of plans and projects significantly affecting Natura 2000 sites: Methodological guidance on the provisions of Article 6(3) and (4) of the Habitats Directive 92/43/EEC</w:t>
      </w:r>
      <w:r w:rsidRPr="00896DB2">
        <w:t>. Office for Official Publications of the European Communities, Luxembourg.</w:t>
      </w:r>
    </w:p>
    <w:p w14:paraId="2DD0500D" w14:textId="197818CC" w:rsidR="00A85748" w:rsidRPr="00896DB2" w:rsidRDefault="00A85748" w:rsidP="00A85748">
      <w:pPr>
        <w:spacing w:line="240" w:lineRule="auto"/>
      </w:pPr>
      <w:r>
        <w:t xml:space="preserve">Office of the Planning Regulator 2021. </w:t>
      </w:r>
      <w:r w:rsidRPr="005D2EB1">
        <w:rPr>
          <w:i/>
          <w:iCs/>
        </w:rPr>
        <w:t>Practice Note PN01: Appropriate Assessment Screening for Development Management</w:t>
      </w:r>
      <w:r>
        <w:t>. Available online at opr.ie</w:t>
      </w:r>
    </w:p>
    <w:sectPr w:rsidR="00A85748" w:rsidRPr="00896DB2" w:rsidSect="007351CB">
      <w:headerReference w:type="default" r:id="rId13"/>
      <w:footerReference w:type="default" r:id="rId14"/>
      <w:headerReference w:type="first" r:id="rId15"/>
      <w:footerReference w:type="first" r:id="rId16"/>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94FDE6" w14:textId="77777777" w:rsidR="002D7A49" w:rsidRDefault="002D7A49" w:rsidP="007E3F69">
      <w:pPr>
        <w:spacing w:after="0" w:line="240" w:lineRule="auto"/>
      </w:pPr>
      <w:r>
        <w:separator/>
      </w:r>
    </w:p>
  </w:endnote>
  <w:endnote w:type="continuationSeparator" w:id="0">
    <w:p w14:paraId="7B8EEC70" w14:textId="77777777" w:rsidR="002D7A49" w:rsidRDefault="002D7A49" w:rsidP="007E3F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9712119"/>
      <w:docPartObj>
        <w:docPartGallery w:val="Page Numbers (Bottom of Page)"/>
        <w:docPartUnique/>
      </w:docPartObj>
    </w:sdtPr>
    <w:sdtEndPr>
      <w:rPr>
        <w:noProof/>
        <w:color w:val="auto"/>
      </w:rPr>
    </w:sdtEndPr>
    <w:sdtContent>
      <w:p w14:paraId="72B2F24F" w14:textId="1411622A" w:rsidR="006973CA" w:rsidRPr="0055386C" w:rsidRDefault="006973CA" w:rsidP="006C6E13">
        <w:pPr>
          <w:pStyle w:val="Footer"/>
          <w:pBdr>
            <w:top w:val="single" w:sz="18" w:space="1" w:color="1A3220"/>
          </w:pBdr>
          <w:ind w:left="0"/>
          <w:jc w:val="center"/>
          <w:rPr>
            <w:color w:val="auto"/>
          </w:rPr>
        </w:pPr>
        <w:r w:rsidRPr="0055386C">
          <w:rPr>
            <w:color w:val="auto"/>
          </w:rPr>
          <w:fldChar w:fldCharType="begin"/>
        </w:r>
        <w:r w:rsidRPr="0055386C">
          <w:rPr>
            <w:color w:val="auto"/>
          </w:rPr>
          <w:instrText xml:space="preserve"> PAGE   \* MERGEFORMAT </w:instrText>
        </w:r>
        <w:r w:rsidRPr="0055386C">
          <w:rPr>
            <w:color w:val="auto"/>
          </w:rPr>
          <w:fldChar w:fldCharType="separate"/>
        </w:r>
        <w:r w:rsidR="00AA3B06" w:rsidRPr="0055386C">
          <w:rPr>
            <w:noProof/>
            <w:color w:val="auto"/>
          </w:rPr>
          <w:t>9</w:t>
        </w:r>
        <w:r w:rsidRPr="0055386C">
          <w:rPr>
            <w:noProof/>
            <w:color w:val="auto"/>
          </w:rPr>
          <w:fldChar w:fldCharType="end"/>
        </w:r>
      </w:p>
    </w:sdtContent>
  </w:sdt>
  <w:p w14:paraId="72B2F250" w14:textId="77777777" w:rsidR="006973CA" w:rsidRDefault="006973CA" w:rsidP="000F6B2D">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2F256" w14:textId="77777777" w:rsidR="006973CA" w:rsidRDefault="006973CA" w:rsidP="0033398F">
    <w:pPr>
      <w:pStyle w:val="Footer"/>
      <w:pBdr>
        <w:top w:val="single" w:sz="18" w:space="1" w:color="1A3220"/>
      </w:pBdr>
      <w:ind w:left="0"/>
      <w:jc w:val="center"/>
      <w:rPr>
        <w:noProof/>
        <w:color w:val="0F243E" w:themeColor="text2" w:themeShade="80"/>
      </w:rPr>
    </w:pPr>
  </w:p>
  <w:p w14:paraId="72B2F257" w14:textId="77777777" w:rsidR="006973CA" w:rsidRDefault="006973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C16FC4" w14:textId="77777777" w:rsidR="002D7A49" w:rsidRDefault="002D7A49" w:rsidP="007E3F69">
      <w:pPr>
        <w:spacing w:after="0" w:line="240" w:lineRule="auto"/>
      </w:pPr>
      <w:r>
        <w:separator/>
      </w:r>
    </w:p>
  </w:footnote>
  <w:footnote w:type="continuationSeparator" w:id="0">
    <w:p w14:paraId="6C98B0C8" w14:textId="77777777" w:rsidR="002D7A49" w:rsidRDefault="002D7A49" w:rsidP="007E3F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64" w:type="pct"/>
      <w:tblInd w:w="-70" w:type="dxa"/>
      <w:tblBorders>
        <w:bottom w:val="single" w:sz="18" w:space="0" w:color="1A3220"/>
      </w:tblBorders>
      <w:tblCellMar>
        <w:top w:w="72" w:type="dxa"/>
        <w:left w:w="115" w:type="dxa"/>
        <w:bottom w:w="72" w:type="dxa"/>
        <w:right w:w="115" w:type="dxa"/>
      </w:tblCellMar>
      <w:tblLook w:val="04A0" w:firstRow="1" w:lastRow="0" w:firstColumn="1" w:lastColumn="0" w:noHBand="0" w:noVBand="1"/>
    </w:tblPr>
    <w:tblGrid>
      <w:gridCol w:w="4657"/>
      <w:gridCol w:w="4485"/>
    </w:tblGrid>
    <w:tr w:rsidR="006973CA" w:rsidRPr="00800F20" w14:paraId="72B2F24D" w14:textId="77777777" w:rsidTr="00011446">
      <w:trPr>
        <w:trHeight w:val="567"/>
      </w:trPr>
      <w:tc>
        <w:tcPr>
          <w:tcW w:w="2547" w:type="pct"/>
          <w:vAlign w:val="bottom"/>
        </w:tcPr>
        <w:p w14:paraId="72B2F24B" w14:textId="77777777" w:rsidR="006973CA" w:rsidRPr="00800F20" w:rsidRDefault="006973CA" w:rsidP="00611AC5">
          <w:pPr>
            <w:pStyle w:val="NoSpacing"/>
            <w:rPr>
              <w:noProof/>
              <w:color w:val="1A3220"/>
              <w:sz w:val="24"/>
              <w:szCs w:val="24"/>
            </w:rPr>
          </w:pPr>
          <w:r>
            <w:rPr>
              <w:color w:val="1A3220"/>
              <w:lang w:val="en-IE"/>
            </w:rPr>
            <w:t>Screening for Appropriate Assessment</w:t>
          </w:r>
        </w:p>
      </w:tc>
      <w:tc>
        <w:tcPr>
          <w:tcW w:w="2453" w:type="pct"/>
          <w:shd w:val="clear" w:color="auto" w:fill="auto"/>
          <w:vAlign w:val="bottom"/>
        </w:tcPr>
        <w:p w14:paraId="72B2F24C" w14:textId="360B00D0" w:rsidR="006973CA" w:rsidRPr="00800F20" w:rsidRDefault="00CA6E79" w:rsidP="00112927">
          <w:pPr>
            <w:pStyle w:val="Header"/>
            <w:jc w:val="right"/>
            <w:rPr>
              <w:color w:val="1A3220"/>
              <w:lang w:val="en-US"/>
            </w:rPr>
          </w:pPr>
          <w:r>
            <w:rPr>
              <w:color w:val="1A3220"/>
            </w:rPr>
            <w:t xml:space="preserve">Kishoge, </w:t>
          </w:r>
          <w:r w:rsidR="00037981">
            <w:rPr>
              <w:color w:val="1A3220"/>
            </w:rPr>
            <w:t>Lucan</w:t>
          </w:r>
        </w:p>
      </w:tc>
    </w:tr>
  </w:tbl>
  <w:p w14:paraId="72B2F24E" w14:textId="77777777" w:rsidR="006973CA" w:rsidRPr="00F54028" w:rsidRDefault="006973CA">
    <w:pPr>
      <w:pStyle w:val="Header"/>
      <w:rPr>
        <w:color w:val="20431D"/>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63" w:type="pct"/>
      <w:tblBorders>
        <w:bottom w:val="single" w:sz="18" w:space="0" w:color="1A3220"/>
      </w:tblBorders>
      <w:tblCellMar>
        <w:top w:w="72" w:type="dxa"/>
        <w:left w:w="115" w:type="dxa"/>
        <w:bottom w:w="72" w:type="dxa"/>
        <w:right w:w="115" w:type="dxa"/>
      </w:tblCellMar>
      <w:tblLook w:val="04A0" w:firstRow="1" w:lastRow="0" w:firstColumn="1" w:lastColumn="0" w:noHBand="0" w:noVBand="1"/>
    </w:tblPr>
    <w:tblGrid>
      <w:gridCol w:w="4589"/>
      <w:gridCol w:w="4370"/>
    </w:tblGrid>
    <w:tr w:rsidR="006973CA" w14:paraId="72B2F253" w14:textId="77777777" w:rsidTr="007F7E40">
      <w:trPr>
        <w:trHeight w:val="567"/>
      </w:trPr>
      <w:tc>
        <w:tcPr>
          <w:tcW w:w="2561" w:type="pct"/>
          <w:vAlign w:val="bottom"/>
        </w:tcPr>
        <w:p w14:paraId="72B2F251" w14:textId="77777777" w:rsidR="006973CA" w:rsidRPr="00725461" w:rsidRDefault="006973CA" w:rsidP="006F1F1C">
          <w:pPr>
            <w:pStyle w:val="NoSpacing"/>
            <w:tabs>
              <w:tab w:val="left" w:pos="4672"/>
            </w:tabs>
            <w:rPr>
              <w:noProof/>
              <w:color w:val="0F243E" w:themeColor="text2" w:themeShade="80"/>
              <w:sz w:val="24"/>
              <w:szCs w:val="24"/>
            </w:rPr>
          </w:pPr>
        </w:p>
      </w:tc>
      <w:tc>
        <w:tcPr>
          <w:tcW w:w="2439" w:type="pct"/>
          <w:shd w:val="clear" w:color="auto" w:fill="auto"/>
          <w:vAlign w:val="bottom"/>
        </w:tcPr>
        <w:p w14:paraId="72B2F252" w14:textId="77777777" w:rsidR="006973CA" w:rsidRPr="00725461" w:rsidRDefault="006973CA" w:rsidP="00560C3B">
          <w:pPr>
            <w:pStyle w:val="Header"/>
            <w:jc w:val="right"/>
            <w:rPr>
              <w:color w:val="0F243E" w:themeColor="text2" w:themeShade="80"/>
              <w:lang w:val="en-US"/>
            </w:rPr>
          </w:pPr>
        </w:p>
      </w:tc>
    </w:tr>
  </w:tbl>
  <w:p w14:paraId="72B2F254" w14:textId="77777777" w:rsidR="006973CA" w:rsidRDefault="006973CA" w:rsidP="00DB5F98">
    <w:pPr>
      <w:pStyle w:val="Header"/>
    </w:pPr>
  </w:p>
  <w:p w14:paraId="72B2F255" w14:textId="77777777" w:rsidR="006973CA" w:rsidRDefault="006973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94AE07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1FE737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DD0AA3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8F21A8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CBA58C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D02740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90F98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3568F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003AA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09E2B3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D0390E"/>
    <w:multiLevelType w:val="hybridMultilevel"/>
    <w:tmpl w:val="1F487486"/>
    <w:lvl w:ilvl="0" w:tplc="18090001">
      <w:start w:val="1"/>
      <w:numFmt w:val="bullet"/>
      <w:lvlText w:val=""/>
      <w:lvlJc w:val="left"/>
      <w:pPr>
        <w:ind w:left="776" w:hanging="360"/>
      </w:pPr>
      <w:rPr>
        <w:rFonts w:ascii="Symbol" w:hAnsi="Symbol" w:hint="default"/>
      </w:rPr>
    </w:lvl>
    <w:lvl w:ilvl="1" w:tplc="18090003" w:tentative="1">
      <w:start w:val="1"/>
      <w:numFmt w:val="bullet"/>
      <w:lvlText w:val="o"/>
      <w:lvlJc w:val="left"/>
      <w:pPr>
        <w:ind w:left="1496" w:hanging="360"/>
      </w:pPr>
      <w:rPr>
        <w:rFonts w:ascii="Courier New" w:hAnsi="Courier New" w:cs="Courier New" w:hint="default"/>
      </w:rPr>
    </w:lvl>
    <w:lvl w:ilvl="2" w:tplc="18090005" w:tentative="1">
      <w:start w:val="1"/>
      <w:numFmt w:val="bullet"/>
      <w:lvlText w:val=""/>
      <w:lvlJc w:val="left"/>
      <w:pPr>
        <w:ind w:left="2216" w:hanging="360"/>
      </w:pPr>
      <w:rPr>
        <w:rFonts w:ascii="Wingdings" w:hAnsi="Wingdings" w:hint="default"/>
      </w:rPr>
    </w:lvl>
    <w:lvl w:ilvl="3" w:tplc="18090001" w:tentative="1">
      <w:start w:val="1"/>
      <w:numFmt w:val="bullet"/>
      <w:lvlText w:val=""/>
      <w:lvlJc w:val="left"/>
      <w:pPr>
        <w:ind w:left="2936" w:hanging="360"/>
      </w:pPr>
      <w:rPr>
        <w:rFonts w:ascii="Symbol" w:hAnsi="Symbol" w:hint="default"/>
      </w:rPr>
    </w:lvl>
    <w:lvl w:ilvl="4" w:tplc="18090003" w:tentative="1">
      <w:start w:val="1"/>
      <w:numFmt w:val="bullet"/>
      <w:lvlText w:val="o"/>
      <w:lvlJc w:val="left"/>
      <w:pPr>
        <w:ind w:left="3656" w:hanging="360"/>
      </w:pPr>
      <w:rPr>
        <w:rFonts w:ascii="Courier New" w:hAnsi="Courier New" w:cs="Courier New" w:hint="default"/>
      </w:rPr>
    </w:lvl>
    <w:lvl w:ilvl="5" w:tplc="18090005" w:tentative="1">
      <w:start w:val="1"/>
      <w:numFmt w:val="bullet"/>
      <w:lvlText w:val=""/>
      <w:lvlJc w:val="left"/>
      <w:pPr>
        <w:ind w:left="4376" w:hanging="360"/>
      </w:pPr>
      <w:rPr>
        <w:rFonts w:ascii="Wingdings" w:hAnsi="Wingdings" w:hint="default"/>
      </w:rPr>
    </w:lvl>
    <w:lvl w:ilvl="6" w:tplc="18090001" w:tentative="1">
      <w:start w:val="1"/>
      <w:numFmt w:val="bullet"/>
      <w:lvlText w:val=""/>
      <w:lvlJc w:val="left"/>
      <w:pPr>
        <w:ind w:left="5096" w:hanging="360"/>
      </w:pPr>
      <w:rPr>
        <w:rFonts w:ascii="Symbol" w:hAnsi="Symbol" w:hint="default"/>
      </w:rPr>
    </w:lvl>
    <w:lvl w:ilvl="7" w:tplc="18090003" w:tentative="1">
      <w:start w:val="1"/>
      <w:numFmt w:val="bullet"/>
      <w:lvlText w:val="o"/>
      <w:lvlJc w:val="left"/>
      <w:pPr>
        <w:ind w:left="5816" w:hanging="360"/>
      </w:pPr>
      <w:rPr>
        <w:rFonts w:ascii="Courier New" w:hAnsi="Courier New" w:cs="Courier New" w:hint="default"/>
      </w:rPr>
    </w:lvl>
    <w:lvl w:ilvl="8" w:tplc="18090005" w:tentative="1">
      <w:start w:val="1"/>
      <w:numFmt w:val="bullet"/>
      <w:lvlText w:val=""/>
      <w:lvlJc w:val="left"/>
      <w:pPr>
        <w:ind w:left="6536" w:hanging="360"/>
      </w:pPr>
      <w:rPr>
        <w:rFonts w:ascii="Wingdings" w:hAnsi="Wingdings" w:hint="default"/>
      </w:rPr>
    </w:lvl>
  </w:abstractNum>
  <w:abstractNum w:abstractNumId="11" w15:restartNumberingAfterBreak="0">
    <w:nsid w:val="02DE3ABC"/>
    <w:multiLevelType w:val="hybridMultilevel"/>
    <w:tmpl w:val="1CB8408A"/>
    <w:lvl w:ilvl="0" w:tplc="18090001">
      <w:start w:val="1"/>
      <w:numFmt w:val="bullet"/>
      <w:lvlText w:val=""/>
      <w:lvlJc w:val="left"/>
      <w:pPr>
        <w:ind w:left="1287" w:hanging="360"/>
      </w:pPr>
      <w:rPr>
        <w:rFonts w:ascii="Symbol" w:hAnsi="Symbol" w:hint="default"/>
      </w:rPr>
    </w:lvl>
    <w:lvl w:ilvl="1" w:tplc="18090003" w:tentative="1">
      <w:start w:val="1"/>
      <w:numFmt w:val="bullet"/>
      <w:lvlText w:val="o"/>
      <w:lvlJc w:val="left"/>
      <w:pPr>
        <w:ind w:left="2007" w:hanging="360"/>
      </w:pPr>
      <w:rPr>
        <w:rFonts w:ascii="Courier New" w:hAnsi="Courier New" w:cs="Courier New" w:hint="default"/>
      </w:rPr>
    </w:lvl>
    <w:lvl w:ilvl="2" w:tplc="18090005" w:tentative="1">
      <w:start w:val="1"/>
      <w:numFmt w:val="bullet"/>
      <w:lvlText w:val=""/>
      <w:lvlJc w:val="left"/>
      <w:pPr>
        <w:ind w:left="2727" w:hanging="360"/>
      </w:pPr>
      <w:rPr>
        <w:rFonts w:ascii="Wingdings" w:hAnsi="Wingdings" w:hint="default"/>
      </w:rPr>
    </w:lvl>
    <w:lvl w:ilvl="3" w:tplc="18090001" w:tentative="1">
      <w:start w:val="1"/>
      <w:numFmt w:val="bullet"/>
      <w:lvlText w:val=""/>
      <w:lvlJc w:val="left"/>
      <w:pPr>
        <w:ind w:left="3447" w:hanging="360"/>
      </w:pPr>
      <w:rPr>
        <w:rFonts w:ascii="Symbol" w:hAnsi="Symbol" w:hint="default"/>
      </w:rPr>
    </w:lvl>
    <w:lvl w:ilvl="4" w:tplc="18090003" w:tentative="1">
      <w:start w:val="1"/>
      <w:numFmt w:val="bullet"/>
      <w:lvlText w:val="o"/>
      <w:lvlJc w:val="left"/>
      <w:pPr>
        <w:ind w:left="4167" w:hanging="360"/>
      </w:pPr>
      <w:rPr>
        <w:rFonts w:ascii="Courier New" w:hAnsi="Courier New" w:cs="Courier New" w:hint="default"/>
      </w:rPr>
    </w:lvl>
    <w:lvl w:ilvl="5" w:tplc="18090005" w:tentative="1">
      <w:start w:val="1"/>
      <w:numFmt w:val="bullet"/>
      <w:lvlText w:val=""/>
      <w:lvlJc w:val="left"/>
      <w:pPr>
        <w:ind w:left="4887" w:hanging="360"/>
      </w:pPr>
      <w:rPr>
        <w:rFonts w:ascii="Wingdings" w:hAnsi="Wingdings" w:hint="default"/>
      </w:rPr>
    </w:lvl>
    <w:lvl w:ilvl="6" w:tplc="18090001" w:tentative="1">
      <w:start w:val="1"/>
      <w:numFmt w:val="bullet"/>
      <w:lvlText w:val=""/>
      <w:lvlJc w:val="left"/>
      <w:pPr>
        <w:ind w:left="5607" w:hanging="360"/>
      </w:pPr>
      <w:rPr>
        <w:rFonts w:ascii="Symbol" w:hAnsi="Symbol" w:hint="default"/>
      </w:rPr>
    </w:lvl>
    <w:lvl w:ilvl="7" w:tplc="18090003" w:tentative="1">
      <w:start w:val="1"/>
      <w:numFmt w:val="bullet"/>
      <w:lvlText w:val="o"/>
      <w:lvlJc w:val="left"/>
      <w:pPr>
        <w:ind w:left="6327" w:hanging="360"/>
      </w:pPr>
      <w:rPr>
        <w:rFonts w:ascii="Courier New" w:hAnsi="Courier New" w:cs="Courier New" w:hint="default"/>
      </w:rPr>
    </w:lvl>
    <w:lvl w:ilvl="8" w:tplc="18090005" w:tentative="1">
      <w:start w:val="1"/>
      <w:numFmt w:val="bullet"/>
      <w:lvlText w:val=""/>
      <w:lvlJc w:val="left"/>
      <w:pPr>
        <w:ind w:left="7047" w:hanging="360"/>
      </w:pPr>
      <w:rPr>
        <w:rFonts w:ascii="Wingdings" w:hAnsi="Wingdings" w:hint="default"/>
      </w:rPr>
    </w:lvl>
  </w:abstractNum>
  <w:abstractNum w:abstractNumId="12" w15:restartNumberingAfterBreak="0">
    <w:nsid w:val="06BB6C53"/>
    <w:multiLevelType w:val="hybridMultilevel"/>
    <w:tmpl w:val="0E927C12"/>
    <w:lvl w:ilvl="0" w:tplc="18090001">
      <w:start w:val="1"/>
      <w:numFmt w:val="bullet"/>
      <w:lvlText w:val=""/>
      <w:lvlJc w:val="left"/>
      <w:pPr>
        <w:ind w:left="1287" w:hanging="360"/>
      </w:pPr>
      <w:rPr>
        <w:rFonts w:ascii="Symbol" w:hAnsi="Symbol" w:hint="default"/>
      </w:rPr>
    </w:lvl>
    <w:lvl w:ilvl="1" w:tplc="18090003" w:tentative="1">
      <w:start w:val="1"/>
      <w:numFmt w:val="bullet"/>
      <w:lvlText w:val="o"/>
      <w:lvlJc w:val="left"/>
      <w:pPr>
        <w:ind w:left="2007" w:hanging="360"/>
      </w:pPr>
      <w:rPr>
        <w:rFonts w:ascii="Courier New" w:hAnsi="Courier New" w:cs="Courier New" w:hint="default"/>
      </w:rPr>
    </w:lvl>
    <w:lvl w:ilvl="2" w:tplc="18090005" w:tentative="1">
      <w:start w:val="1"/>
      <w:numFmt w:val="bullet"/>
      <w:lvlText w:val=""/>
      <w:lvlJc w:val="left"/>
      <w:pPr>
        <w:ind w:left="2727" w:hanging="360"/>
      </w:pPr>
      <w:rPr>
        <w:rFonts w:ascii="Wingdings" w:hAnsi="Wingdings" w:hint="default"/>
      </w:rPr>
    </w:lvl>
    <w:lvl w:ilvl="3" w:tplc="18090001" w:tentative="1">
      <w:start w:val="1"/>
      <w:numFmt w:val="bullet"/>
      <w:lvlText w:val=""/>
      <w:lvlJc w:val="left"/>
      <w:pPr>
        <w:ind w:left="3447" w:hanging="360"/>
      </w:pPr>
      <w:rPr>
        <w:rFonts w:ascii="Symbol" w:hAnsi="Symbol" w:hint="default"/>
      </w:rPr>
    </w:lvl>
    <w:lvl w:ilvl="4" w:tplc="18090003" w:tentative="1">
      <w:start w:val="1"/>
      <w:numFmt w:val="bullet"/>
      <w:lvlText w:val="o"/>
      <w:lvlJc w:val="left"/>
      <w:pPr>
        <w:ind w:left="4167" w:hanging="360"/>
      </w:pPr>
      <w:rPr>
        <w:rFonts w:ascii="Courier New" w:hAnsi="Courier New" w:cs="Courier New" w:hint="default"/>
      </w:rPr>
    </w:lvl>
    <w:lvl w:ilvl="5" w:tplc="18090005" w:tentative="1">
      <w:start w:val="1"/>
      <w:numFmt w:val="bullet"/>
      <w:lvlText w:val=""/>
      <w:lvlJc w:val="left"/>
      <w:pPr>
        <w:ind w:left="4887" w:hanging="360"/>
      </w:pPr>
      <w:rPr>
        <w:rFonts w:ascii="Wingdings" w:hAnsi="Wingdings" w:hint="default"/>
      </w:rPr>
    </w:lvl>
    <w:lvl w:ilvl="6" w:tplc="18090001" w:tentative="1">
      <w:start w:val="1"/>
      <w:numFmt w:val="bullet"/>
      <w:lvlText w:val=""/>
      <w:lvlJc w:val="left"/>
      <w:pPr>
        <w:ind w:left="5607" w:hanging="360"/>
      </w:pPr>
      <w:rPr>
        <w:rFonts w:ascii="Symbol" w:hAnsi="Symbol" w:hint="default"/>
      </w:rPr>
    </w:lvl>
    <w:lvl w:ilvl="7" w:tplc="18090003" w:tentative="1">
      <w:start w:val="1"/>
      <w:numFmt w:val="bullet"/>
      <w:lvlText w:val="o"/>
      <w:lvlJc w:val="left"/>
      <w:pPr>
        <w:ind w:left="6327" w:hanging="360"/>
      </w:pPr>
      <w:rPr>
        <w:rFonts w:ascii="Courier New" w:hAnsi="Courier New" w:cs="Courier New" w:hint="default"/>
      </w:rPr>
    </w:lvl>
    <w:lvl w:ilvl="8" w:tplc="18090005" w:tentative="1">
      <w:start w:val="1"/>
      <w:numFmt w:val="bullet"/>
      <w:lvlText w:val=""/>
      <w:lvlJc w:val="left"/>
      <w:pPr>
        <w:ind w:left="7047" w:hanging="360"/>
      </w:pPr>
      <w:rPr>
        <w:rFonts w:ascii="Wingdings" w:hAnsi="Wingdings" w:hint="default"/>
      </w:rPr>
    </w:lvl>
  </w:abstractNum>
  <w:abstractNum w:abstractNumId="13" w15:restartNumberingAfterBreak="0">
    <w:nsid w:val="080F65FB"/>
    <w:multiLevelType w:val="hybridMultilevel"/>
    <w:tmpl w:val="4A72598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0B171840"/>
    <w:multiLevelType w:val="hybridMultilevel"/>
    <w:tmpl w:val="1234CED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0BA7313C"/>
    <w:multiLevelType w:val="hybridMultilevel"/>
    <w:tmpl w:val="36968330"/>
    <w:lvl w:ilvl="0" w:tplc="5874CEBC">
      <w:start w:val="1"/>
      <w:numFmt w:val="bullet"/>
      <w:pStyle w:val="Bulletlis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112B4484"/>
    <w:multiLevelType w:val="hybridMultilevel"/>
    <w:tmpl w:val="468CC6B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12F91A73"/>
    <w:multiLevelType w:val="hybridMultilevel"/>
    <w:tmpl w:val="E5C8C1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16321EAB"/>
    <w:multiLevelType w:val="hybridMultilevel"/>
    <w:tmpl w:val="0C76667A"/>
    <w:lvl w:ilvl="0" w:tplc="BBAC3BDC">
      <w:start w:val="1"/>
      <w:numFmt w:val="bullet"/>
      <w:lvlText w:val=""/>
      <w:lvlJc w:val="left"/>
      <w:pPr>
        <w:ind w:left="1571" w:hanging="360"/>
      </w:pPr>
      <w:rPr>
        <w:rFonts w:ascii="Symbol" w:hAnsi="Symbol" w:hint="default"/>
      </w:rPr>
    </w:lvl>
    <w:lvl w:ilvl="1" w:tplc="18090003">
      <w:start w:val="1"/>
      <w:numFmt w:val="bullet"/>
      <w:lvlText w:val="o"/>
      <w:lvlJc w:val="left"/>
      <w:pPr>
        <w:ind w:left="2291" w:hanging="360"/>
      </w:pPr>
      <w:rPr>
        <w:rFonts w:ascii="Courier New" w:hAnsi="Courier New" w:cs="Courier New" w:hint="default"/>
      </w:rPr>
    </w:lvl>
    <w:lvl w:ilvl="2" w:tplc="18090005" w:tentative="1">
      <w:start w:val="1"/>
      <w:numFmt w:val="bullet"/>
      <w:lvlText w:val=""/>
      <w:lvlJc w:val="left"/>
      <w:pPr>
        <w:ind w:left="3011" w:hanging="360"/>
      </w:pPr>
      <w:rPr>
        <w:rFonts w:ascii="Wingdings" w:hAnsi="Wingdings" w:hint="default"/>
      </w:rPr>
    </w:lvl>
    <w:lvl w:ilvl="3" w:tplc="18090001" w:tentative="1">
      <w:start w:val="1"/>
      <w:numFmt w:val="bullet"/>
      <w:lvlText w:val=""/>
      <w:lvlJc w:val="left"/>
      <w:pPr>
        <w:ind w:left="3731" w:hanging="360"/>
      </w:pPr>
      <w:rPr>
        <w:rFonts w:ascii="Symbol" w:hAnsi="Symbol" w:hint="default"/>
      </w:rPr>
    </w:lvl>
    <w:lvl w:ilvl="4" w:tplc="18090003" w:tentative="1">
      <w:start w:val="1"/>
      <w:numFmt w:val="bullet"/>
      <w:lvlText w:val="o"/>
      <w:lvlJc w:val="left"/>
      <w:pPr>
        <w:ind w:left="4451" w:hanging="360"/>
      </w:pPr>
      <w:rPr>
        <w:rFonts w:ascii="Courier New" w:hAnsi="Courier New" w:cs="Courier New" w:hint="default"/>
      </w:rPr>
    </w:lvl>
    <w:lvl w:ilvl="5" w:tplc="18090005" w:tentative="1">
      <w:start w:val="1"/>
      <w:numFmt w:val="bullet"/>
      <w:lvlText w:val=""/>
      <w:lvlJc w:val="left"/>
      <w:pPr>
        <w:ind w:left="5171" w:hanging="360"/>
      </w:pPr>
      <w:rPr>
        <w:rFonts w:ascii="Wingdings" w:hAnsi="Wingdings" w:hint="default"/>
      </w:rPr>
    </w:lvl>
    <w:lvl w:ilvl="6" w:tplc="18090001" w:tentative="1">
      <w:start w:val="1"/>
      <w:numFmt w:val="bullet"/>
      <w:lvlText w:val=""/>
      <w:lvlJc w:val="left"/>
      <w:pPr>
        <w:ind w:left="5891" w:hanging="360"/>
      </w:pPr>
      <w:rPr>
        <w:rFonts w:ascii="Symbol" w:hAnsi="Symbol" w:hint="default"/>
      </w:rPr>
    </w:lvl>
    <w:lvl w:ilvl="7" w:tplc="18090003" w:tentative="1">
      <w:start w:val="1"/>
      <w:numFmt w:val="bullet"/>
      <w:lvlText w:val="o"/>
      <w:lvlJc w:val="left"/>
      <w:pPr>
        <w:ind w:left="6611" w:hanging="360"/>
      </w:pPr>
      <w:rPr>
        <w:rFonts w:ascii="Courier New" w:hAnsi="Courier New" w:cs="Courier New" w:hint="default"/>
      </w:rPr>
    </w:lvl>
    <w:lvl w:ilvl="8" w:tplc="18090005" w:tentative="1">
      <w:start w:val="1"/>
      <w:numFmt w:val="bullet"/>
      <w:lvlText w:val=""/>
      <w:lvlJc w:val="left"/>
      <w:pPr>
        <w:ind w:left="7331" w:hanging="360"/>
      </w:pPr>
      <w:rPr>
        <w:rFonts w:ascii="Wingdings" w:hAnsi="Wingdings" w:hint="default"/>
      </w:rPr>
    </w:lvl>
  </w:abstractNum>
  <w:abstractNum w:abstractNumId="19" w15:restartNumberingAfterBreak="0">
    <w:nsid w:val="1C0D5418"/>
    <w:multiLevelType w:val="hybridMultilevel"/>
    <w:tmpl w:val="E14CB57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1D2F463F"/>
    <w:multiLevelType w:val="hybridMultilevel"/>
    <w:tmpl w:val="4B0EA9D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251F49E5"/>
    <w:multiLevelType w:val="hybridMultilevel"/>
    <w:tmpl w:val="2E88976C"/>
    <w:lvl w:ilvl="0" w:tplc="5B227D2A">
      <w:start w:val="1"/>
      <w:numFmt w:val="bullet"/>
      <w:pStyle w:val="Tablelis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25224696"/>
    <w:multiLevelType w:val="hybridMultilevel"/>
    <w:tmpl w:val="7A2683E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255B4BF0"/>
    <w:multiLevelType w:val="hybridMultilevel"/>
    <w:tmpl w:val="0D30630A"/>
    <w:lvl w:ilvl="0" w:tplc="18090001">
      <w:start w:val="1"/>
      <w:numFmt w:val="bullet"/>
      <w:lvlText w:val=""/>
      <w:lvlJc w:val="left"/>
      <w:pPr>
        <w:ind w:left="1287" w:hanging="360"/>
      </w:pPr>
      <w:rPr>
        <w:rFonts w:ascii="Symbol" w:hAnsi="Symbol" w:hint="default"/>
      </w:rPr>
    </w:lvl>
    <w:lvl w:ilvl="1" w:tplc="18090003" w:tentative="1">
      <w:start w:val="1"/>
      <w:numFmt w:val="bullet"/>
      <w:lvlText w:val="o"/>
      <w:lvlJc w:val="left"/>
      <w:pPr>
        <w:ind w:left="2007" w:hanging="360"/>
      </w:pPr>
      <w:rPr>
        <w:rFonts w:ascii="Courier New" w:hAnsi="Courier New" w:cs="Courier New" w:hint="default"/>
      </w:rPr>
    </w:lvl>
    <w:lvl w:ilvl="2" w:tplc="18090005" w:tentative="1">
      <w:start w:val="1"/>
      <w:numFmt w:val="bullet"/>
      <w:lvlText w:val=""/>
      <w:lvlJc w:val="left"/>
      <w:pPr>
        <w:ind w:left="2727" w:hanging="360"/>
      </w:pPr>
      <w:rPr>
        <w:rFonts w:ascii="Wingdings" w:hAnsi="Wingdings" w:hint="default"/>
      </w:rPr>
    </w:lvl>
    <w:lvl w:ilvl="3" w:tplc="18090001" w:tentative="1">
      <w:start w:val="1"/>
      <w:numFmt w:val="bullet"/>
      <w:lvlText w:val=""/>
      <w:lvlJc w:val="left"/>
      <w:pPr>
        <w:ind w:left="3447" w:hanging="360"/>
      </w:pPr>
      <w:rPr>
        <w:rFonts w:ascii="Symbol" w:hAnsi="Symbol" w:hint="default"/>
      </w:rPr>
    </w:lvl>
    <w:lvl w:ilvl="4" w:tplc="18090003" w:tentative="1">
      <w:start w:val="1"/>
      <w:numFmt w:val="bullet"/>
      <w:lvlText w:val="o"/>
      <w:lvlJc w:val="left"/>
      <w:pPr>
        <w:ind w:left="4167" w:hanging="360"/>
      </w:pPr>
      <w:rPr>
        <w:rFonts w:ascii="Courier New" w:hAnsi="Courier New" w:cs="Courier New" w:hint="default"/>
      </w:rPr>
    </w:lvl>
    <w:lvl w:ilvl="5" w:tplc="18090005" w:tentative="1">
      <w:start w:val="1"/>
      <w:numFmt w:val="bullet"/>
      <w:lvlText w:val=""/>
      <w:lvlJc w:val="left"/>
      <w:pPr>
        <w:ind w:left="4887" w:hanging="360"/>
      </w:pPr>
      <w:rPr>
        <w:rFonts w:ascii="Wingdings" w:hAnsi="Wingdings" w:hint="default"/>
      </w:rPr>
    </w:lvl>
    <w:lvl w:ilvl="6" w:tplc="18090001" w:tentative="1">
      <w:start w:val="1"/>
      <w:numFmt w:val="bullet"/>
      <w:lvlText w:val=""/>
      <w:lvlJc w:val="left"/>
      <w:pPr>
        <w:ind w:left="5607" w:hanging="360"/>
      </w:pPr>
      <w:rPr>
        <w:rFonts w:ascii="Symbol" w:hAnsi="Symbol" w:hint="default"/>
      </w:rPr>
    </w:lvl>
    <w:lvl w:ilvl="7" w:tplc="18090003" w:tentative="1">
      <w:start w:val="1"/>
      <w:numFmt w:val="bullet"/>
      <w:lvlText w:val="o"/>
      <w:lvlJc w:val="left"/>
      <w:pPr>
        <w:ind w:left="6327" w:hanging="360"/>
      </w:pPr>
      <w:rPr>
        <w:rFonts w:ascii="Courier New" w:hAnsi="Courier New" w:cs="Courier New" w:hint="default"/>
      </w:rPr>
    </w:lvl>
    <w:lvl w:ilvl="8" w:tplc="18090005" w:tentative="1">
      <w:start w:val="1"/>
      <w:numFmt w:val="bullet"/>
      <w:lvlText w:val=""/>
      <w:lvlJc w:val="left"/>
      <w:pPr>
        <w:ind w:left="7047" w:hanging="360"/>
      </w:pPr>
      <w:rPr>
        <w:rFonts w:ascii="Wingdings" w:hAnsi="Wingdings" w:hint="default"/>
      </w:rPr>
    </w:lvl>
  </w:abstractNum>
  <w:abstractNum w:abstractNumId="24" w15:restartNumberingAfterBreak="0">
    <w:nsid w:val="2A3F5AA5"/>
    <w:multiLevelType w:val="hybridMultilevel"/>
    <w:tmpl w:val="8C50642E"/>
    <w:lvl w:ilvl="0" w:tplc="18090001">
      <w:start w:val="1"/>
      <w:numFmt w:val="bullet"/>
      <w:lvlText w:val=""/>
      <w:lvlJc w:val="left"/>
      <w:pPr>
        <w:ind w:left="1617" w:hanging="360"/>
      </w:pPr>
      <w:rPr>
        <w:rFonts w:ascii="Symbol" w:hAnsi="Symbol" w:hint="default"/>
      </w:rPr>
    </w:lvl>
    <w:lvl w:ilvl="1" w:tplc="18090003" w:tentative="1">
      <w:start w:val="1"/>
      <w:numFmt w:val="bullet"/>
      <w:lvlText w:val="o"/>
      <w:lvlJc w:val="left"/>
      <w:pPr>
        <w:ind w:left="2337" w:hanging="360"/>
      </w:pPr>
      <w:rPr>
        <w:rFonts w:ascii="Courier New" w:hAnsi="Courier New" w:cs="Courier New" w:hint="default"/>
      </w:rPr>
    </w:lvl>
    <w:lvl w:ilvl="2" w:tplc="18090005" w:tentative="1">
      <w:start w:val="1"/>
      <w:numFmt w:val="bullet"/>
      <w:lvlText w:val=""/>
      <w:lvlJc w:val="left"/>
      <w:pPr>
        <w:ind w:left="3057" w:hanging="360"/>
      </w:pPr>
      <w:rPr>
        <w:rFonts w:ascii="Wingdings" w:hAnsi="Wingdings" w:hint="default"/>
      </w:rPr>
    </w:lvl>
    <w:lvl w:ilvl="3" w:tplc="18090001" w:tentative="1">
      <w:start w:val="1"/>
      <w:numFmt w:val="bullet"/>
      <w:lvlText w:val=""/>
      <w:lvlJc w:val="left"/>
      <w:pPr>
        <w:ind w:left="3777" w:hanging="360"/>
      </w:pPr>
      <w:rPr>
        <w:rFonts w:ascii="Symbol" w:hAnsi="Symbol" w:hint="default"/>
      </w:rPr>
    </w:lvl>
    <w:lvl w:ilvl="4" w:tplc="18090003" w:tentative="1">
      <w:start w:val="1"/>
      <w:numFmt w:val="bullet"/>
      <w:lvlText w:val="o"/>
      <w:lvlJc w:val="left"/>
      <w:pPr>
        <w:ind w:left="4497" w:hanging="360"/>
      </w:pPr>
      <w:rPr>
        <w:rFonts w:ascii="Courier New" w:hAnsi="Courier New" w:cs="Courier New" w:hint="default"/>
      </w:rPr>
    </w:lvl>
    <w:lvl w:ilvl="5" w:tplc="18090005" w:tentative="1">
      <w:start w:val="1"/>
      <w:numFmt w:val="bullet"/>
      <w:lvlText w:val=""/>
      <w:lvlJc w:val="left"/>
      <w:pPr>
        <w:ind w:left="5217" w:hanging="360"/>
      </w:pPr>
      <w:rPr>
        <w:rFonts w:ascii="Wingdings" w:hAnsi="Wingdings" w:hint="default"/>
      </w:rPr>
    </w:lvl>
    <w:lvl w:ilvl="6" w:tplc="18090001" w:tentative="1">
      <w:start w:val="1"/>
      <w:numFmt w:val="bullet"/>
      <w:lvlText w:val=""/>
      <w:lvlJc w:val="left"/>
      <w:pPr>
        <w:ind w:left="5937" w:hanging="360"/>
      </w:pPr>
      <w:rPr>
        <w:rFonts w:ascii="Symbol" w:hAnsi="Symbol" w:hint="default"/>
      </w:rPr>
    </w:lvl>
    <w:lvl w:ilvl="7" w:tplc="18090003" w:tentative="1">
      <w:start w:val="1"/>
      <w:numFmt w:val="bullet"/>
      <w:lvlText w:val="o"/>
      <w:lvlJc w:val="left"/>
      <w:pPr>
        <w:ind w:left="6657" w:hanging="360"/>
      </w:pPr>
      <w:rPr>
        <w:rFonts w:ascii="Courier New" w:hAnsi="Courier New" w:cs="Courier New" w:hint="default"/>
      </w:rPr>
    </w:lvl>
    <w:lvl w:ilvl="8" w:tplc="18090005" w:tentative="1">
      <w:start w:val="1"/>
      <w:numFmt w:val="bullet"/>
      <w:lvlText w:val=""/>
      <w:lvlJc w:val="left"/>
      <w:pPr>
        <w:ind w:left="7377" w:hanging="360"/>
      </w:pPr>
      <w:rPr>
        <w:rFonts w:ascii="Wingdings" w:hAnsi="Wingdings" w:hint="default"/>
      </w:rPr>
    </w:lvl>
  </w:abstractNum>
  <w:abstractNum w:abstractNumId="25" w15:restartNumberingAfterBreak="0">
    <w:nsid w:val="39AF1C32"/>
    <w:multiLevelType w:val="hybridMultilevel"/>
    <w:tmpl w:val="5258789E"/>
    <w:lvl w:ilvl="0" w:tplc="B476B118">
      <w:start w:val="1"/>
      <w:numFmt w:val="lowerRoman"/>
      <w:lvlText w:val="(%1)"/>
      <w:lvlJc w:val="left"/>
      <w:pPr>
        <w:ind w:left="1287" w:hanging="720"/>
      </w:pPr>
      <w:rPr>
        <w:rFonts w:hint="default"/>
      </w:rPr>
    </w:lvl>
    <w:lvl w:ilvl="1" w:tplc="18090019" w:tentative="1">
      <w:start w:val="1"/>
      <w:numFmt w:val="lowerLetter"/>
      <w:lvlText w:val="%2."/>
      <w:lvlJc w:val="left"/>
      <w:pPr>
        <w:ind w:left="1647" w:hanging="360"/>
      </w:pPr>
    </w:lvl>
    <w:lvl w:ilvl="2" w:tplc="1809001B" w:tentative="1">
      <w:start w:val="1"/>
      <w:numFmt w:val="lowerRoman"/>
      <w:lvlText w:val="%3."/>
      <w:lvlJc w:val="right"/>
      <w:pPr>
        <w:ind w:left="2367" w:hanging="180"/>
      </w:pPr>
    </w:lvl>
    <w:lvl w:ilvl="3" w:tplc="1809000F" w:tentative="1">
      <w:start w:val="1"/>
      <w:numFmt w:val="decimal"/>
      <w:lvlText w:val="%4."/>
      <w:lvlJc w:val="left"/>
      <w:pPr>
        <w:ind w:left="3087" w:hanging="360"/>
      </w:pPr>
    </w:lvl>
    <w:lvl w:ilvl="4" w:tplc="18090019" w:tentative="1">
      <w:start w:val="1"/>
      <w:numFmt w:val="lowerLetter"/>
      <w:lvlText w:val="%5."/>
      <w:lvlJc w:val="left"/>
      <w:pPr>
        <w:ind w:left="3807" w:hanging="360"/>
      </w:pPr>
    </w:lvl>
    <w:lvl w:ilvl="5" w:tplc="1809001B" w:tentative="1">
      <w:start w:val="1"/>
      <w:numFmt w:val="lowerRoman"/>
      <w:lvlText w:val="%6."/>
      <w:lvlJc w:val="right"/>
      <w:pPr>
        <w:ind w:left="4527" w:hanging="180"/>
      </w:pPr>
    </w:lvl>
    <w:lvl w:ilvl="6" w:tplc="1809000F" w:tentative="1">
      <w:start w:val="1"/>
      <w:numFmt w:val="decimal"/>
      <w:lvlText w:val="%7."/>
      <w:lvlJc w:val="left"/>
      <w:pPr>
        <w:ind w:left="5247" w:hanging="360"/>
      </w:pPr>
    </w:lvl>
    <w:lvl w:ilvl="7" w:tplc="18090019" w:tentative="1">
      <w:start w:val="1"/>
      <w:numFmt w:val="lowerLetter"/>
      <w:lvlText w:val="%8."/>
      <w:lvlJc w:val="left"/>
      <w:pPr>
        <w:ind w:left="5967" w:hanging="360"/>
      </w:pPr>
    </w:lvl>
    <w:lvl w:ilvl="8" w:tplc="1809001B" w:tentative="1">
      <w:start w:val="1"/>
      <w:numFmt w:val="lowerRoman"/>
      <w:lvlText w:val="%9."/>
      <w:lvlJc w:val="right"/>
      <w:pPr>
        <w:ind w:left="6687" w:hanging="180"/>
      </w:pPr>
    </w:lvl>
  </w:abstractNum>
  <w:abstractNum w:abstractNumId="26" w15:restartNumberingAfterBreak="0">
    <w:nsid w:val="39C32983"/>
    <w:multiLevelType w:val="hybridMultilevel"/>
    <w:tmpl w:val="87A8D0EC"/>
    <w:lvl w:ilvl="0" w:tplc="761EFBB2">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3C2801B4"/>
    <w:multiLevelType w:val="multilevel"/>
    <w:tmpl w:val="7890C200"/>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rPr>
    </w:lvl>
    <w:lvl w:ilvl="2">
      <w:start w:val="1"/>
      <w:numFmt w:val="none"/>
      <w:lvlText w:val=""/>
      <w:lvlJc w:val="left"/>
      <w:pPr>
        <w:ind w:left="851" w:hanging="851"/>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425C08F3"/>
    <w:multiLevelType w:val="hybridMultilevel"/>
    <w:tmpl w:val="F7E6B3FA"/>
    <w:lvl w:ilvl="0" w:tplc="18090001">
      <w:start w:val="1"/>
      <w:numFmt w:val="bullet"/>
      <w:lvlText w:val=""/>
      <w:lvlJc w:val="left"/>
      <w:pPr>
        <w:ind w:left="1174" w:hanging="360"/>
      </w:pPr>
      <w:rPr>
        <w:rFonts w:ascii="Symbol" w:hAnsi="Symbol" w:hint="default"/>
      </w:rPr>
    </w:lvl>
    <w:lvl w:ilvl="1" w:tplc="18090003" w:tentative="1">
      <w:start w:val="1"/>
      <w:numFmt w:val="bullet"/>
      <w:lvlText w:val="o"/>
      <w:lvlJc w:val="left"/>
      <w:pPr>
        <w:ind w:left="1894" w:hanging="360"/>
      </w:pPr>
      <w:rPr>
        <w:rFonts w:ascii="Courier New" w:hAnsi="Courier New" w:cs="Courier New" w:hint="default"/>
      </w:rPr>
    </w:lvl>
    <w:lvl w:ilvl="2" w:tplc="18090005" w:tentative="1">
      <w:start w:val="1"/>
      <w:numFmt w:val="bullet"/>
      <w:lvlText w:val=""/>
      <w:lvlJc w:val="left"/>
      <w:pPr>
        <w:ind w:left="2614" w:hanging="360"/>
      </w:pPr>
      <w:rPr>
        <w:rFonts w:ascii="Wingdings" w:hAnsi="Wingdings" w:hint="default"/>
      </w:rPr>
    </w:lvl>
    <w:lvl w:ilvl="3" w:tplc="18090001" w:tentative="1">
      <w:start w:val="1"/>
      <w:numFmt w:val="bullet"/>
      <w:lvlText w:val=""/>
      <w:lvlJc w:val="left"/>
      <w:pPr>
        <w:ind w:left="3334" w:hanging="360"/>
      </w:pPr>
      <w:rPr>
        <w:rFonts w:ascii="Symbol" w:hAnsi="Symbol" w:hint="default"/>
      </w:rPr>
    </w:lvl>
    <w:lvl w:ilvl="4" w:tplc="18090003" w:tentative="1">
      <w:start w:val="1"/>
      <w:numFmt w:val="bullet"/>
      <w:lvlText w:val="o"/>
      <w:lvlJc w:val="left"/>
      <w:pPr>
        <w:ind w:left="4054" w:hanging="360"/>
      </w:pPr>
      <w:rPr>
        <w:rFonts w:ascii="Courier New" w:hAnsi="Courier New" w:cs="Courier New" w:hint="default"/>
      </w:rPr>
    </w:lvl>
    <w:lvl w:ilvl="5" w:tplc="18090005" w:tentative="1">
      <w:start w:val="1"/>
      <w:numFmt w:val="bullet"/>
      <w:lvlText w:val=""/>
      <w:lvlJc w:val="left"/>
      <w:pPr>
        <w:ind w:left="4774" w:hanging="360"/>
      </w:pPr>
      <w:rPr>
        <w:rFonts w:ascii="Wingdings" w:hAnsi="Wingdings" w:hint="default"/>
      </w:rPr>
    </w:lvl>
    <w:lvl w:ilvl="6" w:tplc="18090001" w:tentative="1">
      <w:start w:val="1"/>
      <w:numFmt w:val="bullet"/>
      <w:lvlText w:val=""/>
      <w:lvlJc w:val="left"/>
      <w:pPr>
        <w:ind w:left="5494" w:hanging="360"/>
      </w:pPr>
      <w:rPr>
        <w:rFonts w:ascii="Symbol" w:hAnsi="Symbol" w:hint="default"/>
      </w:rPr>
    </w:lvl>
    <w:lvl w:ilvl="7" w:tplc="18090003" w:tentative="1">
      <w:start w:val="1"/>
      <w:numFmt w:val="bullet"/>
      <w:lvlText w:val="o"/>
      <w:lvlJc w:val="left"/>
      <w:pPr>
        <w:ind w:left="6214" w:hanging="360"/>
      </w:pPr>
      <w:rPr>
        <w:rFonts w:ascii="Courier New" w:hAnsi="Courier New" w:cs="Courier New" w:hint="default"/>
      </w:rPr>
    </w:lvl>
    <w:lvl w:ilvl="8" w:tplc="18090005" w:tentative="1">
      <w:start w:val="1"/>
      <w:numFmt w:val="bullet"/>
      <w:lvlText w:val=""/>
      <w:lvlJc w:val="left"/>
      <w:pPr>
        <w:ind w:left="6934" w:hanging="360"/>
      </w:pPr>
      <w:rPr>
        <w:rFonts w:ascii="Wingdings" w:hAnsi="Wingdings" w:hint="default"/>
      </w:rPr>
    </w:lvl>
  </w:abstractNum>
  <w:abstractNum w:abstractNumId="29" w15:restartNumberingAfterBreak="0">
    <w:nsid w:val="4B6825FF"/>
    <w:multiLevelType w:val="hybridMultilevel"/>
    <w:tmpl w:val="A8F8A47E"/>
    <w:lvl w:ilvl="0" w:tplc="18090001">
      <w:start w:val="1"/>
      <w:numFmt w:val="bullet"/>
      <w:lvlText w:val=""/>
      <w:lvlJc w:val="left"/>
      <w:pPr>
        <w:ind w:left="1287" w:hanging="360"/>
      </w:pPr>
      <w:rPr>
        <w:rFonts w:ascii="Symbol" w:hAnsi="Symbol" w:hint="default"/>
      </w:rPr>
    </w:lvl>
    <w:lvl w:ilvl="1" w:tplc="18090003" w:tentative="1">
      <w:start w:val="1"/>
      <w:numFmt w:val="bullet"/>
      <w:lvlText w:val="o"/>
      <w:lvlJc w:val="left"/>
      <w:pPr>
        <w:ind w:left="2007" w:hanging="360"/>
      </w:pPr>
      <w:rPr>
        <w:rFonts w:ascii="Courier New" w:hAnsi="Courier New" w:cs="Courier New" w:hint="default"/>
      </w:rPr>
    </w:lvl>
    <w:lvl w:ilvl="2" w:tplc="18090005" w:tentative="1">
      <w:start w:val="1"/>
      <w:numFmt w:val="bullet"/>
      <w:lvlText w:val=""/>
      <w:lvlJc w:val="left"/>
      <w:pPr>
        <w:ind w:left="2727" w:hanging="360"/>
      </w:pPr>
      <w:rPr>
        <w:rFonts w:ascii="Wingdings" w:hAnsi="Wingdings" w:hint="default"/>
      </w:rPr>
    </w:lvl>
    <w:lvl w:ilvl="3" w:tplc="18090001" w:tentative="1">
      <w:start w:val="1"/>
      <w:numFmt w:val="bullet"/>
      <w:lvlText w:val=""/>
      <w:lvlJc w:val="left"/>
      <w:pPr>
        <w:ind w:left="3447" w:hanging="360"/>
      </w:pPr>
      <w:rPr>
        <w:rFonts w:ascii="Symbol" w:hAnsi="Symbol" w:hint="default"/>
      </w:rPr>
    </w:lvl>
    <w:lvl w:ilvl="4" w:tplc="18090003" w:tentative="1">
      <w:start w:val="1"/>
      <w:numFmt w:val="bullet"/>
      <w:lvlText w:val="o"/>
      <w:lvlJc w:val="left"/>
      <w:pPr>
        <w:ind w:left="4167" w:hanging="360"/>
      </w:pPr>
      <w:rPr>
        <w:rFonts w:ascii="Courier New" w:hAnsi="Courier New" w:cs="Courier New" w:hint="default"/>
      </w:rPr>
    </w:lvl>
    <w:lvl w:ilvl="5" w:tplc="18090005" w:tentative="1">
      <w:start w:val="1"/>
      <w:numFmt w:val="bullet"/>
      <w:lvlText w:val=""/>
      <w:lvlJc w:val="left"/>
      <w:pPr>
        <w:ind w:left="4887" w:hanging="360"/>
      </w:pPr>
      <w:rPr>
        <w:rFonts w:ascii="Wingdings" w:hAnsi="Wingdings" w:hint="default"/>
      </w:rPr>
    </w:lvl>
    <w:lvl w:ilvl="6" w:tplc="18090001" w:tentative="1">
      <w:start w:val="1"/>
      <w:numFmt w:val="bullet"/>
      <w:lvlText w:val=""/>
      <w:lvlJc w:val="left"/>
      <w:pPr>
        <w:ind w:left="5607" w:hanging="360"/>
      </w:pPr>
      <w:rPr>
        <w:rFonts w:ascii="Symbol" w:hAnsi="Symbol" w:hint="default"/>
      </w:rPr>
    </w:lvl>
    <w:lvl w:ilvl="7" w:tplc="18090003" w:tentative="1">
      <w:start w:val="1"/>
      <w:numFmt w:val="bullet"/>
      <w:lvlText w:val="o"/>
      <w:lvlJc w:val="left"/>
      <w:pPr>
        <w:ind w:left="6327" w:hanging="360"/>
      </w:pPr>
      <w:rPr>
        <w:rFonts w:ascii="Courier New" w:hAnsi="Courier New" w:cs="Courier New" w:hint="default"/>
      </w:rPr>
    </w:lvl>
    <w:lvl w:ilvl="8" w:tplc="18090005" w:tentative="1">
      <w:start w:val="1"/>
      <w:numFmt w:val="bullet"/>
      <w:lvlText w:val=""/>
      <w:lvlJc w:val="left"/>
      <w:pPr>
        <w:ind w:left="7047" w:hanging="360"/>
      </w:pPr>
      <w:rPr>
        <w:rFonts w:ascii="Wingdings" w:hAnsi="Wingdings" w:hint="default"/>
      </w:rPr>
    </w:lvl>
  </w:abstractNum>
  <w:abstractNum w:abstractNumId="30" w15:restartNumberingAfterBreak="0">
    <w:nsid w:val="4D382A11"/>
    <w:multiLevelType w:val="hybridMultilevel"/>
    <w:tmpl w:val="FBD83A80"/>
    <w:lvl w:ilvl="0" w:tplc="18090001">
      <w:start w:val="1"/>
      <w:numFmt w:val="bullet"/>
      <w:lvlText w:val=""/>
      <w:lvlJc w:val="left"/>
      <w:pPr>
        <w:ind w:left="1287" w:hanging="360"/>
      </w:pPr>
      <w:rPr>
        <w:rFonts w:ascii="Symbol" w:hAnsi="Symbol" w:hint="default"/>
      </w:rPr>
    </w:lvl>
    <w:lvl w:ilvl="1" w:tplc="18090003" w:tentative="1">
      <w:start w:val="1"/>
      <w:numFmt w:val="bullet"/>
      <w:lvlText w:val="o"/>
      <w:lvlJc w:val="left"/>
      <w:pPr>
        <w:ind w:left="2007" w:hanging="360"/>
      </w:pPr>
      <w:rPr>
        <w:rFonts w:ascii="Courier New" w:hAnsi="Courier New" w:cs="Courier New" w:hint="default"/>
      </w:rPr>
    </w:lvl>
    <w:lvl w:ilvl="2" w:tplc="18090005" w:tentative="1">
      <w:start w:val="1"/>
      <w:numFmt w:val="bullet"/>
      <w:lvlText w:val=""/>
      <w:lvlJc w:val="left"/>
      <w:pPr>
        <w:ind w:left="2727" w:hanging="360"/>
      </w:pPr>
      <w:rPr>
        <w:rFonts w:ascii="Wingdings" w:hAnsi="Wingdings" w:hint="default"/>
      </w:rPr>
    </w:lvl>
    <w:lvl w:ilvl="3" w:tplc="18090001" w:tentative="1">
      <w:start w:val="1"/>
      <w:numFmt w:val="bullet"/>
      <w:lvlText w:val=""/>
      <w:lvlJc w:val="left"/>
      <w:pPr>
        <w:ind w:left="3447" w:hanging="360"/>
      </w:pPr>
      <w:rPr>
        <w:rFonts w:ascii="Symbol" w:hAnsi="Symbol" w:hint="default"/>
      </w:rPr>
    </w:lvl>
    <w:lvl w:ilvl="4" w:tplc="18090003" w:tentative="1">
      <w:start w:val="1"/>
      <w:numFmt w:val="bullet"/>
      <w:lvlText w:val="o"/>
      <w:lvlJc w:val="left"/>
      <w:pPr>
        <w:ind w:left="4167" w:hanging="360"/>
      </w:pPr>
      <w:rPr>
        <w:rFonts w:ascii="Courier New" w:hAnsi="Courier New" w:cs="Courier New" w:hint="default"/>
      </w:rPr>
    </w:lvl>
    <w:lvl w:ilvl="5" w:tplc="18090005" w:tentative="1">
      <w:start w:val="1"/>
      <w:numFmt w:val="bullet"/>
      <w:lvlText w:val=""/>
      <w:lvlJc w:val="left"/>
      <w:pPr>
        <w:ind w:left="4887" w:hanging="360"/>
      </w:pPr>
      <w:rPr>
        <w:rFonts w:ascii="Wingdings" w:hAnsi="Wingdings" w:hint="default"/>
      </w:rPr>
    </w:lvl>
    <w:lvl w:ilvl="6" w:tplc="18090001" w:tentative="1">
      <w:start w:val="1"/>
      <w:numFmt w:val="bullet"/>
      <w:lvlText w:val=""/>
      <w:lvlJc w:val="left"/>
      <w:pPr>
        <w:ind w:left="5607" w:hanging="360"/>
      </w:pPr>
      <w:rPr>
        <w:rFonts w:ascii="Symbol" w:hAnsi="Symbol" w:hint="default"/>
      </w:rPr>
    </w:lvl>
    <w:lvl w:ilvl="7" w:tplc="18090003" w:tentative="1">
      <w:start w:val="1"/>
      <w:numFmt w:val="bullet"/>
      <w:lvlText w:val="o"/>
      <w:lvlJc w:val="left"/>
      <w:pPr>
        <w:ind w:left="6327" w:hanging="360"/>
      </w:pPr>
      <w:rPr>
        <w:rFonts w:ascii="Courier New" w:hAnsi="Courier New" w:cs="Courier New" w:hint="default"/>
      </w:rPr>
    </w:lvl>
    <w:lvl w:ilvl="8" w:tplc="18090005" w:tentative="1">
      <w:start w:val="1"/>
      <w:numFmt w:val="bullet"/>
      <w:lvlText w:val=""/>
      <w:lvlJc w:val="left"/>
      <w:pPr>
        <w:ind w:left="7047" w:hanging="360"/>
      </w:pPr>
      <w:rPr>
        <w:rFonts w:ascii="Wingdings" w:hAnsi="Wingdings" w:hint="default"/>
      </w:rPr>
    </w:lvl>
  </w:abstractNum>
  <w:abstractNum w:abstractNumId="31" w15:restartNumberingAfterBreak="0">
    <w:nsid w:val="4FA65F2C"/>
    <w:multiLevelType w:val="hybridMultilevel"/>
    <w:tmpl w:val="C96A9A3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51D65095"/>
    <w:multiLevelType w:val="hybridMultilevel"/>
    <w:tmpl w:val="4644095A"/>
    <w:lvl w:ilvl="0" w:tplc="18090001">
      <w:start w:val="1"/>
      <w:numFmt w:val="bullet"/>
      <w:lvlText w:val=""/>
      <w:lvlJc w:val="left"/>
      <w:pPr>
        <w:ind w:left="1931" w:hanging="360"/>
      </w:pPr>
      <w:rPr>
        <w:rFonts w:ascii="Symbol" w:hAnsi="Symbol" w:hint="default"/>
      </w:rPr>
    </w:lvl>
    <w:lvl w:ilvl="1" w:tplc="18090003">
      <w:start w:val="1"/>
      <w:numFmt w:val="bullet"/>
      <w:lvlText w:val="o"/>
      <w:lvlJc w:val="left"/>
      <w:pPr>
        <w:ind w:left="2651" w:hanging="360"/>
      </w:pPr>
      <w:rPr>
        <w:rFonts w:ascii="Courier New" w:hAnsi="Courier New" w:cs="Courier New" w:hint="default"/>
      </w:rPr>
    </w:lvl>
    <w:lvl w:ilvl="2" w:tplc="18090005">
      <w:start w:val="1"/>
      <w:numFmt w:val="bullet"/>
      <w:lvlText w:val=""/>
      <w:lvlJc w:val="left"/>
      <w:pPr>
        <w:ind w:left="3371" w:hanging="360"/>
      </w:pPr>
      <w:rPr>
        <w:rFonts w:ascii="Wingdings" w:hAnsi="Wingdings" w:hint="default"/>
      </w:rPr>
    </w:lvl>
    <w:lvl w:ilvl="3" w:tplc="18090001">
      <w:start w:val="1"/>
      <w:numFmt w:val="bullet"/>
      <w:lvlText w:val=""/>
      <w:lvlJc w:val="left"/>
      <w:pPr>
        <w:ind w:left="4091" w:hanging="360"/>
      </w:pPr>
      <w:rPr>
        <w:rFonts w:ascii="Symbol" w:hAnsi="Symbol" w:hint="default"/>
      </w:rPr>
    </w:lvl>
    <w:lvl w:ilvl="4" w:tplc="18090003">
      <w:start w:val="1"/>
      <w:numFmt w:val="bullet"/>
      <w:lvlText w:val="o"/>
      <w:lvlJc w:val="left"/>
      <w:pPr>
        <w:ind w:left="4811" w:hanging="360"/>
      </w:pPr>
      <w:rPr>
        <w:rFonts w:ascii="Courier New" w:hAnsi="Courier New" w:cs="Courier New" w:hint="default"/>
      </w:rPr>
    </w:lvl>
    <w:lvl w:ilvl="5" w:tplc="18090005">
      <w:start w:val="1"/>
      <w:numFmt w:val="bullet"/>
      <w:lvlText w:val=""/>
      <w:lvlJc w:val="left"/>
      <w:pPr>
        <w:ind w:left="5531" w:hanging="360"/>
      </w:pPr>
      <w:rPr>
        <w:rFonts w:ascii="Wingdings" w:hAnsi="Wingdings" w:hint="default"/>
      </w:rPr>
    </w:lvl>
    <w:lvl w:ilvl="6" w:tplc="18090001">
      <w:start w:val="1"/>
      <w:numFmt w:val="bullet"/>
      <w:lvlText w:val=""/>
      <w:lvlJc w:val="left"/>
      <w:pPr>
        <w:ind w:left="6251" w:hanging="360"/>
      </w:pPr>
      <w:rPr>
        <w:rFonts w:ascii="Symbol" w:hAnsi="Symbol" w:hint="default"/>
      </w:rPr>
    </w:lvl>
    <w:lvl w:ilvl="7" w:tplc="18090003">
      <w:start w:val="1"/>
      <w:numFmt w:val="bullet"/>
      <w:lvlText w:val="o"/>
      <w:lvlJc w:val="left"/>
      <w:pPr>
        <w:ind w:left="6971" w:hanging="360"/>
      </w:pPr>
      <w:rPr>
        <w:rFonts w:ascii="Courier New" w:hAnsi="Courier New" w:cs="Courier New" w:hint="default"/>
      </w:rPr>
    </w:lvl>
    <w:lvl w:ilvl="8" w:tplc="18090005">
      <w:start w:val="1"/>
      <w:numFmt w:val="bullet"/>
      <w:lvlText w:val=""/>
      <w:lvlJc w:val="left"/>
      <w:pPr>
        <w:ind w:left="7691" w:hanging="360"/>
      </w:pPr>
      <w:rPr>
        <w:rFonts w:ascii="Wingdings" w:hAnsi="Wingdings" w:hint="default"/>
      </w:rPr>
    </w:lvl>
  </w:abstractNum>
  <w:abstractNum w:abstractNumId="33" w15:restartNumberingAfterBreak="0">
    <w:nsid w:val="5C992885"/>
    <w:multiLevelType w:val="hybridMultilevel"/>
    <w:tmpl w:val="2EE0A95E"/>
    <w:lvl w:ilvl="0" w:tplc="18090001">
      <w:start w:val="1"/>
      <w:numFmt w:val="bullet"/>
      <w:lvlText w:val=""/>
      <w:lvlJc w:val="left"/>
      <w:pPr>
        <w:ind w:left="1400" w:hanging="360"/>
      </w:pPr>
      <w:rPr>
        <w:rFonts w:ascii="Symbol" w:hAnsi="Symbol" w:hint="default"/>
      </w:rPr>
    </w:lvl>
    <w:lvl w:ilvl="1" w:tplc="E584A59A">
      <w:numFmt w:val="bullet"/>
      <w:lvlText w:val="•"/>
      <w:lvlJc w:val="left"/>
      <w:pPr>
        <w:ind w:left="2120" w:hanging="360"/>
      </w:pPr>
      <w:rPr>
        <w:rFonts w:ascii="Calibri" w:eastAsiaTheme="minorHAnsi" w:hAnsi="Calibri" w:cstheme="minorBidi" w:hint="default"/>
      </w:rPr>
    </w:lvl>
    <w:lvl w:ilvl="2" w:tplc="18090005" w:tentative="1">
      <w:start w:val="1"/>
      <w:numFmt w:val="bullet"/>
      <w:lvlText w:val=""/>
      <w:lvlJc w:val="left"/>
      <w:pPr>
        <w:ind w:left="2840" w:hanging="360"/>
      </w:pPr>
      <w:rPr>
        <w:rFonts w:ascii="Wingdings" w:hAnsi="Wingdings" w:hint="default"/>
      </w:rPr>
    </w:lvl>
    <w:lvl w:ilvl="3" w:tplc="18090001" w:tentative="1">
      <w:start w:val="1"/>
      <w:numFmt w:val="bullet"/>
      <w:lvlText w:val=""/>
      <w:lvlJc w:val="left"/>
      <w:pPr>
        <w:ind w:left="3560" w:hanging="360"/>
      </w:pPr>
      <w:rPr>
        <w:rFonts w:ascii="Symbol" w:hAnsi="Symbol" w:hint="default"/>
      </w:rPr>
    </w:lvl>
    <w:lvl w:ilvl="4" w:tplc="18090003" w:tentative="1">
      <w:start w:val="1"/>
      <w:numFmt w:val="bullet"/>
      <w:lvlText w:val="o"/>
      <w:lvlJc w:val="left"/>
      <w:pPr>
        <w:ind w:left="4280" w:hanging="360"/>
      </w:pPr>
      <w:rPr>
        <w:rFonts w:ascii="Courier New" w:hAnsi="Courier New" w:cs="Courier New" w:hint="default"/>
      </w:rPr>
    </w:lvl>
    <w:lvl w:ilvl="5" w:tplc="18090005" w:tentative="1">
      <w:start w:val="1"/>
      <w:numFmt w:val="bullet"/>
      <w:lvlText w:val=""/>
      <w:lvlJc w:val="left"/>
      <w:pPr>
        <w:ind w:left="5000" w:hanging="360"/>
      </w:pPr>
      <w:rPr>
        <w:rFonts w:ascii="Wingdings" w:hAnsi="Wingdings" w:hint="default"/>
      </w:rPr>
    </w:lvl>
    <w:lvl w:ilvl="6" w:tplc="18090001" w:tentative="1">
      <w:start w:val="1"/>
      <w:numFmt w:val="bullet"/>
      <w:lvlText w:val=""/>
      <w:lvlJc w:val="left"/>
      <w:pPr>
        <w:ind w:left="5720" w:hanging="360"/>
      </w:pPr>
      <w:rPr>
        <w:rFonts w:ascii="Symbol" w:hAnsi="Symbol" w:hint="default"/>
      </w:rPr>
    </w:lvl>
    <w:lvl w:ilvl="7" w:tplc="18090003" w:tentative="1">
      <w:start w:val="1"/>
      <w:numFmt w:val="bullet"/>
      <w:lvlText w:val="o"/>
      <w:lvlJc w:val="left"/>
      <w:pPr>
        <w:ind w:left="6440" w:hanging="360"/>
      </w:pPr>
      <w:rPr>
        <w:rFonts w:ascii="Courier New" w:hAnsi="Courier New" w:cs="Courier New" w:hint="default"/>
      </w:rPr>
    </w:lvl>
    <w:lvl w:ilvl="8" w:tplc="18090005" w:tentative="1">
      <w:start w:val="1"/>
      <w:numFmt w:val="bullet"/>
      <w:lvlText w:val=""/>
      <w:lvlJc w:val="left"/>
      <w:pPr>
        <w:ind w:left="7160" w:hanging="360"/>
      </w:pPr>
      <w:rPr>
        <w:rFonts w:ascii="Wingdings" w:hAnsi="Wingdings" w:hint="default"/>
      </w:rPr>
    </w:lvl>
  </w:abstractNum>
  <w:abstractNum w:abstractNumId="34" w15:restartNumberingAfterBreak="0">
    <w:nsid w:val="5F017FA5"/>
    <w:multiLevelType w:val="hybridMultilevel"/>
    <w:tmpl w:val="6742DE46"/>
    <w:lvl w:ilvl="0" w:tplc="18090001">
      <w:start w:val="1"/>
      <w:numFmt w:val="bullet"/>
      <w:lvlText w:val=""/>
      <w:lvlJc w:val="left"/>
      <w:pPr>
        <w:ind w:left="1287" w:hanging="360"/>
      </w:pPr>
      <w:rPr>
        <w:rFonts w:ascii="Symbol" w:hAnsi="Symbol" w:hint="default"/>
      </w:rPr>
    </w:lvl>
    <w:lvl w:ilvl="1" w:tplc="18090003" w:tentative="1">
      <w:start w:val="1"/>
      <w:numFmt w:val="bullet"/>
      <w:lvlText w:val="o"/>
      <w:lvlJc w:val="left"/>
      <w:pPr>
        <w:ind w:left="2007" w:hanging="360"/>
      </w:pPr>
      <w:rPr>
        <w:rFonts w:ascii="Courier New" w:hAnsi="Courier New" w:cs="Courier New" w:hint="default"/>
      </w:rPr>
    </w:lvl>
    <w:lvl w:ilvl="2" w:tplc="18090005" w:tentative="1">
      <w:start w:val="1"/>
      <w:numFmt w:val="bullet"/>
      <w:lvlText w:val=""/>
      <w:lvlJc w:val="left"/>
      <w:pPr>
        <w:ind w:left="2727" w:hanging="360"/>
      </w:pPr>
      <w:rPr>
        <w:rFonts w:ascii="Wingdings" w:hAnsi="Wingdings" w:hint="default"/>
      </w:rPr>
    </w:lvl>
    <w:lvl w:ilvl="3" w:tplc="18090001" w:tentative="1">
      <w:start w:val="1"/>
      <w:numFmt w:val="bullet"/>
      <w:lvlText w:val=""/>
      <w:lvlJc w:val="left"/>
      <w:pPr>
        <w:ind w:left="3447" w:hanging="360"/>
      </w:pPr>
      <w:rPr>
        <w:rFonts w:ascii="Symbol" w:hAnsi="Symbol" w:hint="default"/>
      </w:rPr>
    </w:lvl>
    <w:lvl w:ilvl="4" w:tplc="18090003" w:tentative="1">
      <w:start w:val="1"/>
      <w:numFmt w:val="bullet"/>
      <w:lvlText w:val="o"/>
      <w:lvlJc w:val="left"/>
      <w:pPr>
        <w:ind w:left="4167" w:hanging="360"/>
      </w:pPr>
      <w:rPr>
        <w:rFonts w:ascii="Courier New" w:hAnsi="Courier New" w:cs="Courier New" w:hint="default"/>
      </w:rPr>
    </w:lvl>
    <w:lvl w:ilvl="5" w:tplc="18090005" w:tentative="1">
      <w:start w:val="1"/>
      <w:numFmt w:val="bullet"/>
      <w:lvlText w:val=""/>
      <w:lvlJc w:val="left"/>
      <w:pPr>
        <w:ind w:left="4887" w:hanging="360"/>
      </w:pPr>
      <w:rPr>
        <w:rFonts w:ascii="Wingdings" w:hAnsi="Wingdings" w:hint="default"/>
      </w:rPr>
    </w:lvl>
    <w:lvl w:ilvl="6" w:tplc="18090001" w:tentative="1">
      <w:start w:val="1"/>
      <w:numFmt w:val="bullet"/>
      <w:lvlText w:val=""/>
      <w:lvlJc w:val="left"/>
      <w:pPr>
        <w:ind w:left="5607" w:hanging="360"/>
      </w:pPr>
      <w:rPr>
        <w:rFonts w:ascii="Symbol" w:hAnsi="Symbol" w:hint="default"/>
      </w:rPr>
    </w:lvl>
    <w:lvl w:ilvl="7" w:tplc="18090003" w:tentative="1">
      <w:start w:val="1"/>
      <w:numFmt w:val="bullet"/>
      <w:lvlText w:val="o"/>
      <w:lvlJc w:val="left"/>
      <w:pPr>
        <w:ind w:left="6327" w:hanging="360"/>
      </w:pPr>
      <w:rPr>
        <w:rFonts w:ascii="Courier New" w:hAnsi="Courier New" w:cs="Courier New" w:hint="default"/>
      </w:rPr>
    </w:lvl>
    <w:lvl w:ilvl="8" w:tplc="18090005" w:tentative="1">
      <w:start w:val="1"/>
      <w:numFmt w:val="bullet"/>
      <w:lvlText w:val=""/>
      <w:lvlJc w:val="left"/>
      <w:pPr>
        <w:ind w:left="7047" w:hanging="360"/>
      </w:pPr>
      <w:rPr>
        <w:rFonts w:ascii="Wingdings" w:hAnsi="Wingdings" w:hint="default"/>
      </w:rPr>
    </w:lvl>
  </w:abstractNum>
  <w:abstractNum w:abstractNumId="35" w15:restartNumberingAfterBreak="0">
    <w:nsid w:val="6150745E"/>
    <w:multiLevelType w:val="hybridMultilevel"/>
    <w:tmpl w:val="19C4CA72"/>
    <w:lvl w:ilvl="0" w:tplc="18090001">
      <w:start w:val="1"/>
      <w:numFmt w:val="bullet"/>
      <w:lvlText w:val=""/>
      <w:lvlJc w:val="left"/>
      <w:pPr>
        <w:ind w:left="1571" w:hanging="360"/>
      </w:pPr>
      <w:rPr>
        <w:rFonts w:ascii="Symbol" w:hAnsi="Symbol" w:hint="default"/>
      </w:rPr>
    </w:lvl>
    <w:lvl w:ilvl="1" w:tplc="18090003">
      <w:start w:val="1"/>
      <w:numFmt w:val="bullet"/>
      <w:lvlText w:val="o"/>
      <w:lvlJc w:val="left"/>
      <w:pPr>
        <w:ind w:left="2291" w:hanging="360"/>
      </w:pPr>
      <w:rPr>
        <w:rFonts w:ascii="Courier New" w:hAnsi="Courier New" w:cs="Courier New" w:hint="default"/>
      </w:rPr>
    </w:lvl>
    <w:lvl w:ilvl="2" w:tplc="18090005" w:tentative="1">
      <w:start w:val="1"/>
      <w:numFmt w:val="bullet"/>
      <w:lvlText w:val=""/>
      <w:lvlJc w:val="left"/>
      <w:pPr>
        <w:ind w:left="3011" w:hanging="360"/>
      </w:pPr>
      <w:rPr>
        <w:rFonts w:ascii="Wingdings" w:hAnsi="Wingdings" w:hint="default"/>
      </w:rPr>
    </w:lvl>
    <w:lvl w:ilvl="3" w:tplc="18090001" w:tentative="1">
      <w:start w:val="1"/>
      <w:numFmt w:val="bullet"/>
      <w:lvlText w:val=""/>
      <w:lvlJc w:val="left"/>
      <w:pPr>
        <w:ind w:left="3731" w:hanging="360"/>
      </w:pPr>
      <w:rPr>
        <w:rFonts w:ascii="Symbol" w:hAnsi="Symbol" w:hint="default"/>
      </w:rPr>
    </w:lvl>
    <w:lvl w:ilvl="4" w:tplc="18090003" w:tentative="1">
      <w:start w:val="1"/>
      <w:numFmt w:val="bullet"/>
      <w:lvlText w:val="o"/>
      <w:lvlJc w:val="left"/>
      <w:pPr>
        <w:ind w:left="4451" w:hanging="360"/>
      </w:pPr>
      <w:rPr>
        <w:rFonts w:ascii="Courier New" w:hAnsi="Courier New" w:cs="Courier New" w:hint="default"/>
      </w:rPr>
    </w:lvl>
    <w:lvl w:ilvl="5" w:tplc="18090005" w:tentative="1">
      <w:start w:val="1"/>
      <w:numFmt w:val="bullet"/>
      <w:lvlText w:val=""/>
      <w:lvlJc w:val="left"/>
      <w:pPr>
        <w:ind w:left="5171" w:hanging="360"/>
      </w:pPr>
      <w:rPr>
        <w:rFonts w:ascii="Wingdings" w:hAnsi="Wingdings" w:hint="default"/>
      </w:rPr>
    </w:lvl>
    <w:lvl w:ilvl="6" w:tplc="18090001" w:tentative="1">
      <w:start w:val="1"/>
      <w:numFmt w:val="bullet"/>
      <w:lvlText w:val=""/>
      <w:lvlJc w:val="left"/>
      <w:pPr>
        <w:ind w:left="5891" w:hanging="360"/>
      </w:pPr>
      <w:rPr>
        <w:rFonts w:ascii="Symbol" w:hAnsi="Symbol" w:hint="default"/>
      </w:rPr>
    </w:lvl>
    <w:lvl w:ilvl="7" w:tplc="18090003" w:tentative="1">
      <w:start w:val="1"/>
      <w:numFmt w:val="bullet"/>
      <w:lvlText w:val="o"/>
      <w:lvlJc w:val="left"/>
      <w:pPr>
        <w:ind w:left="6611" w:hanging="360"/>
      </w:pPr>
      <w:rPr>
        <w:rFonts w:ascii="Courier New" w:hAnsi="Courier New" w:cs="Courier New" w:hint="default"/>
      </w:rPr>
    </w:lvl>
    <w:lvl w:ilvl="8" w:tplc="18090005" w:tentative="1">
      <w:start w:val="1"/>
      <w:numFmt w:val="bullet"/>
      <w:lvlText w:val=""/>
      <w:lvlJc w:val="left"/>
      <w:pPr>
        <w:ind w:left="7331" w:hanging="360"/>
      </w:pPr>
      <w:rPr>
        <w:rFonts w:ascii="Wingdings" w:hAnsi="Wingdings" w:hint="default"/>
      </w:rPr>
    </w:lvl>
  </w:abstractNum>
  <w:abstractNum w:abstractNumId="36" w15:restartNumberingAfterBreak="0">
    <w:nsid w:val="62411D4B"/>
    <w:multiLevelType w:val="hybridMultilevel"/>
    <w:tmpl w:val="FC9CB434"/>
    <w:lvl w:ilvl="0" w:tplc="1809000F">
      <w:start w:val="1"/>
      <w:numFmt w:val="decimal"/>
      <w:lvlText w:val="%1."/>
      <w:lvlJc w:val="left"/>
      <w:pPr>
        <w:ind w:left="1287" w:hanging="360"/>
      </w:pPr>
    </w:lvl>
    <w:lvl w:ilvl="1" w:tplc="18090019" w:tentative="1">
      <w:start w:val="1"/>
      <w:numFmt w:val="lowerLetter"/>
      <w:lvlText w:val="%2."/>
      <w:lvlJc w:val="left"/>
      <w:pPr>
        <w:ind w:left="2007" w:hanging="360"/>
      </w:pPr>
    </w:lvl>
    <w:lvl w:ilvl="2" w:tplc="1809001B" w:tentative="1">
      <w:start w:val="1"/>
      <w:numFmt w:val="lowerRoman"/>
      <w:lvlText w:val="%3."/>
      <w:lvlJc w:val="right"/>
      <w:pPr>
        <w:ind w:left="2727" w:hanging="180"/>
      </w:pPr>
    </w:lvl>
    <w:lvl w:ilvl="3" w:tplc="1809000F" w:tentative="1">
      <w:start w:val="1"/>
      <w:numFmt w:val="decimal"/>
      <w:lvlText w:val="%4."/>
      <w:lvlJc w:val="left"/>
      <w:pPr>
        <w:ind w:left="3447" w:hanging="360"/>
      </w:pPr>
    </w:lvl>
    <w:lvl w:ilvl="4" w:tplc="18090019" w:tentative="1">
      <w:start w:val="1"/>
      <w:numFmt w:val="lowerLetter"/>
      <w:lvlText w:val="%5."/>
      <w:lvlJc w:val="left"/>
      <w:pPr>
        <w:ind w:left="4167" w:hanging="360"/>
      </w:pPr>
    </w:lvl>
    <w:lvl w:ilvl="5" w:tplc="1809001B" w:tentative="1">
      <w:start w:val="1"/>
      <w:numFmt w:val="lowerRoman"/>
      <w:lvlText w:val="%6."/>
      <w:lvlJc w:val="right"/>
      <w:pPr>
        <w:ind w:left="4887" w:hanging="180"/>
      </w:pPr>
    </w:lvl>
    <w:lvl w:ilvl="6" w:tplc="1809000F" w:tentative="1">
      <w:start w:val="1"/>
      <w:numFmt w:val="decimal"/>
      <w:lvlText w:val="%7."/>
      <w:lvlJc w:val="left"/>
      <w:pPr>
        <w:ind w:left="5607" w:hanging="360"/>
      </w:pPr>
    </w:lvl>
    <w:lvl w:ilvl="7" w:tplc="18090019" w:tentative="1">
      <w:start w:val="1"/>
      <w:numFmt w:val="lowerLetter"/>
      <w:lvlText w:val="%8."/>
      <w:lvlJc w:val="left"/>
      <w:pPr>
        <w:ind w:left="6327" w:hanging="360"/>
      </w:pPr>
    </w:lvl>
    <w:lvl w:ilvl="8" w:tplc="1809001B" w:tentative="1">
      <w:start w:val="1"/>
      <w:numFmt w:val="lowerRoman"/>
      <w:lvlText w:val="%9."/>
      <w:lvlJc w:val="right"/>
      <w:pPr>
        <w:ind w:left="7047" w:hanging="180"/>
      </w:pPr>
    </w:lvl>
  </w:abstractNum>
  <w:abstractNum w:abstractNumId="37" w15:restartNumberingAfterBreak="0">
    <w:nsid w:val="6B950566"/>
    <w:multiLevelType w:val="multilevel"/>
    <w:tmpl w:val="4A366260"/>
    <w:lvl w:ilvl="0">
      <w:start w:val="1"/>
      <w:numFmt w:val="decimal"/>
      <w:lvlText w:val="%1."/>
      <w:lvlJc w:val="left"/>
      <w:pPr>
        <w:ind w:left="454" w:hanging="45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454" w:hanging="454"/>
      </w:pPr>
      <w:rPr>
        <w:rFonts w:hint="default"/>
      </w:rPr>
    </w:lvl>
    <w:lvl w:ilvl="2">
      <w:start w:val="1"/>
      <w:numFmt w:val="lowerRoman"/>
      <w:lvlText w:val="%3."/>
      <w:lvlJc w:val="right"/>
      <w:pPr>
        <w:ind w:left="454" w:hanging="454"/>
      </w:pPr>
      <w:rPr>
        <w:rFonts w:hint="default"/>
      </w:rPr>
    </w:lvl>
    <w:lvl w:ilvl="3">
      <w:start w:val="1"/>
      <w:numFmt w:val="decimal"/>
      <w:lvlText w:val="%4."/>
      <w:lvlJc w:val="left"/>
      <w:pPr>
        <w:ind w:left="454" w:hanging="454"/>
      </w:pPr>
      <w:rPr>
        <w:rFonts w:hint="default"/>
      </w:rPr>
    </w:lvl>
    <w:lvl w:ilvl="4">
      <w:start w:val="1"/>
      <w:numFmt w:val="lowerLetter"/>
      <w:lvlText w:val="%5."/>
      <w:lvlJc w:val="left"/>
      <w:pPr>
        <w:ind w:left="454" w:hanging="454"/>
      </w:pPr>
      <w:rPr>
        <w:rFonts w:hint="default"/>
      </w:rPr>
    </w:lvl>
    <w:lvl w:ilvl="5">
      <w:start w:val="1"/>
      <w:numFmt w:val="lowerRoman"/>
      <w:lvlText w:val="%6."/>
      <w:lvlJc w:val="right"/>
      <w:pPr>
        <w:ind w:left="454" w:hanging="454"/>
      </w:pPr>
      <w:rPr>
        <w:rFonts w:hint="default"/>
      </w:rPr>
    </w:lvl>
    <w:lvl w:ilvl="6">
      <w:start w:val="1"/>
      <w:numFmt w:val="decimal"/>
      <w:lvlText w:val="%7."/>
      <w:lvlJc w:val="left"/>
      <w:pPr>
        <w:ind w:left="454" w:hanging="454"/>
      </w:pPr>
      <w:rPr>
        <w:rFonts w:hint="default"/>
      </w:rPr>
    </w:lvl>
    <w:lvl w:ilvl="7">
      <w:start w:val="1"/>
      <w:numFmt w:val="lowerLetter"/>
      <w:lvlText w:val="%8."/>
      <w:lvlJc w:val="left"/>
      <w:pPr>
        <w:ind w:left="454" w:hanging="454"/>
      </w:pPr>
      <w:rPr>
        <w:rFonts w:hint="default"/>
      </w:rPr>
    </w:lvl>
    <w:lvl w:ilvl="8">
      <w:start w:val="1"/>
      <w:numFmt w:val="lowerRoman"/>
      <w:lvlText w:val="%9."/>
      <w:lvlJc w:val="right"/>
      <w:pPr>
        <w:ind w:left="454" w:hanging="454"/>
      </w:pPr>
      <w:rPr>
        <w:rFonts w:hint="default"/>
      </w:rPr>
    </w:lvl>
  </w:abstractNum>
  <w:abstractNum w:abstractNumId="38" w15:restartNumberingAfterBreak="0">
    <w:nsid w:val="6BCD61F4"/>
    <w:multiLevelType w:val="hybridMultilevel"/>
    <w:tmpl w:val="250E124E"/>
    <w:lvl w:ilvl="0" w:tplc="18090001">
      <w:start w:val="1"/>
      <w:numFmt w:val="bullet"/>
      <w:lvlText w:val=""/>
      <w:lvlJc w:val="left"/>
      <w:pPr>
        <w:ind w:left="1400" w:hanging="360"/>
      </w:pPr>
      <w:rPr>
        <w:rFonts w:ascii="Symbol" w:hAnsi="Symbol" w:hint="default"/>
      </w:rPr>
    </w:lvl>
    <w:lvl w:ilvl="1" w:tplc="18090003" w:tentative="1">
      <w:start w:val="1"/>
      <w:numFmt w:val="bullet"/>
      <w:lvlText w:val="o"/>
      <w:lvlJc w:val="left"/>
      <w:pPr>
        <w:ind w:left="2120" w:hanging="360"/>
      </w:pPr>
      <w:rPr>
        <w:rFonts w:ascii="Courier New" w:hAnsi="Courier New" w:cs="Courier New" w:hint="default"/>
      </w:rPr>
    </w:lvl>
    <w:lvl w:ilvl="2" w:tplc="18090005" w:tentative="1">
      <w:start w:val="1"/>
      <w:numFmt w:val="bullet"/>
      <w:lvlText w:val=""/>
      <w:lvlJc w:val="left"/>
      <w:pPr>
        <w:ind w:left="2840" w:hanging="360"/>
      </w:pPr>
      <w:rPr>
        <w:rFonts w:ascii="Wingdings" w:hAnsi="Wingdings" w:hint="default"/>
      </w:rPr>
    </w:lvl>
    <w:lvl w:ilvl="3" w:tplc="18090001" w:tentative="1">
      <w:start w:val="1"/>
      <w:numFmt w:val="bullet"/>
      <w:lvlText w:val=""/>
      <w:lvlJc w:val="left"/>
      <w:pPr>
        <w:ind w:left="3560" w:hanging="360"/>
      </w:pPr>
      <w:rPr>
        <w:rFonts w:ascii="Symbol" w:hAnsi="Symbol" w:hint="default"/>
      </w:rPr>
    </w:lvl>
    <w:lvl w:ilvl="4" w:tplc="18090003" w:tentative="1">
      <w:start w:val="1"/>
      <w:numFmt w:val="bullet"/>
      <w:lvlText w:val="o"/>
      <w:lvlJc w:val="left"/>
      <w:pPr>
        <w:ind w:left="4280" w:hanging="360"/>
      </w:pPr>
      <w:rPr>
        <w:rFonts w:ascii="Courier New" w:hAnsi="Courier New" w:cs="Courier New" w:hint="default"/>
      </w:rPr>
    </w:lvl>
    <w:lvl w:ilvl="5" w:tplc="18090005" w:tentative="1">
      <w:start w:val="1"/>
      <w:numFmt w:val="bullet"/>
      <w:lvlText w:val=""/>
      <w:lvlJc w:val="left"/>
      <w:pPr>
        <w:ind w:left="5000" w:hanging="360"/>
      </w:pPr>
      <w:rPr>
        <w:rFonts w:ascii="Wingdings" w:hAnsi="Wingdings" w:hint="default"/>
      </w:rPr>
    </w:lvl>
    <w:lvl w:ilvl="6" w:tplc="18090001" w:tentative="1">
      <w:start w:val="1"/>
      <w:numFmt w:val="bullet"/>
      <w:lvlText w:val=""/>
      <w:lvlJc w:val="left"/>
      <w:pPr>
        <w:ind w:left="5720" w:hanging="360"/>
      </w:pPr>
      <w:rPr>
        <w:rFonts w:ascii="Symbol" w:hAnsi="Symbol" w:hint="default"/>
      </w:rPr>
    </w:lvl>
    <w:lvl w:ilvl="7" w:tplc="18090003" w:tentative="1">
      <w:start w:val="1"/>
      <w:numFmt w:val="bullet"/>
      <w:lvlText w:val="o"/>
      <w:lvlJc w:val="left"/>
      <w:pPr>
        <w:ind w:left="6440" w:hanging="360"/>
      </w:pPr>
      <w:rPr>
        <w:rFonts w:ascii="Courier New" w:hAnsi="Courier New" w:cs="Courier New" w:hint="default"/>
      </w:rPr>
    </w:lvl>
    <w:lvl w:ilvl="8" w:tplc="18090005" w:tentative="1">
      <w:start w:val="1"/>
      <w:numFmt w:val="bullet"/>
      <w:lvlText w:val=""/>
      <w:lvlJc w:val="left"/>
      <w:pPr>
        <w:ind w:left="7160" w:hanging="360"/>
      </w:pPr>
      <w:rPr>
        <w:rFonts w:ascii="Wingdings" w:hAnsi="Wingdings" w:hint="default"/>
      </w:rPr>
    </w:lvl>
  </w:abstractNum>
  <w:abstractNum w:abstractNumId="39" w15:restartNumberingAfterBreak="0">
    <w:nsid w:val="6F0E2B74"/>
    <w:multiLevelType w:val="hybridMultilevel"/>
    <w:tmpl w:val="5AA61FC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15:restartNumberingAfterBreak="0">
    <w:nsid w:val="756C0730"/>
    <w:multiLevelType w:val="hybridMultilevel"/>
    <w:tmpl w:val="D868B0A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7E07231F"/>
    <w:multiLevelType w:val="hybridMultilevel"/>
    <w:tmpl w:val="A06E05E2"/>
    <w:lvl w:ilvl="0" w:tplc="14FA21BA">
      <w:start w:val="1"/>
      <w:numFmt w:val="decimal"/>
      <w:pStyle w:val="Numberlist"/>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594752849">
    <w:abstractNumId w:val="21"/>
  </w:num>
  <w:num w:numId="2" w16cid:durableId="1075393483">
    <w:abstractNumId w:val="37"/>
  </w:num>
  <w:num w:numId="3" w16cid:durableId="752551302">
    <w:abstractNumId w:val="15"/>
  </w:num>
  <w:num w:numId="4" w16cid:durableId="1831290838">
    <w:abstractNumId w:val="28"/>
  </w:num>
  <w:num w:numId="5" w16cid:durableId="1202477332">
    <w:abstractNumId w:val="20"/>
  </w:num>
  <w:num w:numId="6" w16cid:durableId="35936029">
    <w:abstractNumId w:val="13"/>
  </w:num>
  <w:num w:numId="7" w16cid:durableId="1331829186">
    <w:abstractNumId w:val="19"/>
  </w:num>
  <w:num w:numId="8" w16cid:durableId="2083941748">
    <w:abstractNumId w:val="17"/>
  </w:num>
  <w:num w:numId="9" w16cid:durableId="116922553">
    <w:abstractNumId w:val="14"/>
  </w:num>
  <w:num w:numId="10" w16cid:durableId="1456437915">
    <w:abstractNumId w:val="38"/>
  </w:num>
  <w:num w:numId="11" w16cid:durableId="1240359792">
    <w:abstractNumId w:val="33"/>
  </w:num>
  <w:num w:numId="12" w16cid:durableId="393237966">
    <w:abstractNumId w:val="27"/>
  </w:num>
  <w:num w:numId="13" w16cid:durableId="273095479">
    <w:abstractNumId w:val="27"/>
    <w:lvlOverride w:ilvl="0">
      <w:lvl w:ilvl="0">
        <w:start w:val="1"/>
        <w:numFmt w:val="decimal"/>
        <w:pStyle w:val="Heading1"/>
        <w:lvlText w:val="%1"/>
        <w:lvlJc w:val="left"/>
        <w:pPr>
          <w:ind w:left="851" w:hanging="851"/>
        </w:pPr>
        <w:rPr>
          <w:rFonts w:hint="default"/>
        </w:rPr>
      </w:lvl>
    </w:lvlOverride>
    <w:lvlOverride w:ilvl="1">
      <w:lvl w:ilvl="1">
        <w:start w:val="1"/>
        <w:numFmt w:val="decimal"/>
        <w:pStyle w:val="Heading2"/>
        <w:lvlText w:val="%1.%2"/>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14" w16cid:durableId="425276119">
    <w:abstractNumId w:val="26"/>
  </w:num>
  <w:num w:numId="15" w16cid:durableId="155195663">
    <w:abstractNumId w:val="9"/>
  </w:num>
  <w:num w:numId="16" w16cid:durableId="1096439404">
    <w:abstractNumId w:val="7"/>
  </w:num>
  <w:num w:numId="17" w16cid:durableId="1107386815">
    <w:abstractNumId w:val="6"/>
  </w:num>
  <w:num w:numId="18" w16cid:durableId="1043289798">
    <w:abstractNumId w:val="5"/>
  </w:num>
  <w:num w:numId="19" w16cid:durableId="1775126606">
    <w:abstractNumId w:val="4"/>
  </w:num>
  <w:num w:numId="20" w16cid:durableId="940648755">
    <w:abstractNumId w:val="8"/>
  </w:num>
  <w:num w:numId="21" w16cid:durableId="195973977">
    <w:abstractNumId w:val="3"/>
  </w:num>
  <w:num w:numId="22" w16cid:durableId="1705443581">
    <w:abstractNumId w:val="2"/>
  </w:num>
  <w:num w:numId="23" w16cid:durableId="1459183000">
    <w:abstractNumId w:val="1"/>
  </w:num>
  <w:num w:numId="24" w16cid:durableId="398985333">
    <w:abstractNumId w:val="0"/>
  </w:num>
  <w:num w:numId="25" w16cid:durableId="567956342">
    <w:abstractNumId w:val="31"/>
  </w:num>
  <w:num w:numId="26" w16cid:durableId="1199581905">
    <w:abstractNumId w:val="16"/>
  </w:num>
  <w:num w:numId="27" w16cid:durableId="1871801426">
    <w:abstractNumId w:val="35"/>
  </w:num>
  <w:num w:numId="28" w16cid:durableId="538476456">
    <w:abstractNumId w:val="34"/>
  </w:num>
  <w:num w:numId="29" w16cid:durableId="1498155644">
    <w:abstractNumId w:val="30"/>
  </w:num>
  <w:num w:numId="30" w16cid:durableId="1178615762">
    <w:abstractNumId w:val="12"/>
  </w:num>
  <w:num w:numId="31" w16cid:durableId="1401446438">
    <w:abstractNumId w:val="40"/>
  </w:num>
  <w:num w:numId="32" w16cid:durableId="1707831378">
    <w:abstractNumId w:val="22"/>
  </w:num>
  <w:num w:numId="33" w16cid:durableId="2146585540">
    <w:abstractNumId w:val="39"/>
  </w:num>
  <w:num w:numId="34" w16cid:durableId="1259607515">
    <w:abstractNumId w:val="10"/>
  </w:num>
  <w:num w:numId="35" w16cid:durableId="231426091">
    <w:abstractNumId w:val="24"/>
  </w:num>
  <w:num w:numId="36" w16cid:durableId="1222640966">
    <w:abstractNumId w:val="29"/>
  </w:num>
  <w:num w:numId="37" w16cid:durableId="1182402169">
    <w:abstractNumId w:val="41"/>
  </w:num>
  <w:num w:numId="38" w16cid:durableId="1579948503">
    <w:abstractNumId w:val="11"/>
  </w:num>
  <w:num w:numId="39" w16cid:durableId="328950468">
    <w:abstractNumId w:val="23"/>
  </w:num>
  <w:num w:numId="40" w16cid:durableId="1764762059">
    <w:abstractNumId w:val="15"/>
  </w:num>
  <w:num w:numId="41" w16cid:durableId="288779908">
    <w:abstractNumId w:val="15"/>
  </w:num>
  <w:num w:numId="42" w16cid:durableId="916595260">
    <w:abstractNumId w:val="32"/>
  </w:num>
  <w:num w:numId="43" w16cid:durableId="993989295">
    <w:abstractNumId w:val="36"/>
  </w:num>
  <w:num w:numId="44" w16cid:durableId="150752440">
    <w:abstractNumId w:val="18"/>
  </w:num>
  <w:num w:numId="45" w16cid:durableId="1915359575">
    <w:abstractNumId w:val="2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015D"/>
    <w:rsid w:val="00000145"/>
    <w:rsid w:val="00000287"/>
    <w:rsid w:val="00000FE3"/>
    <w:rsid w:val="00001366"/>
    <w:rsid w:val="00002455"/>
    <w:rsid w:val="00002D06"/>
    <w:rsid w:val="000046B6"/>
    <w:rsid w:val="000055FB"/>
    <w:rsid w:val="00005A73"/>
    <w:rsid w:val="00005D17"/>
    <w:rsid w:val="00006065"/>
    <w:rsid w:val="00010A4E"/>
    <w:rsid w:val="00010D9D"/>
    <w:rsid w:val="00011446"/>
    <w:rsid w:val="00011A44"/>
    <w:rsid w:val="000120CE"/>
    <w:rsid w:val="0001225B"/>
    <w:rsid w:val="00012CDC"/>
    <w:rsid w:val="000153D0"/>
    <w:rsid w:val="00015A84"/>
    <w:rsid w:val="00017902"/>
    <w:rsid w:val="000179E3"/>
    <w:rsid w:val="000206EF"/>
    <w:rsid w:val="00020AC0"/>
    <w:rsid w:val="000210E0"/>
    <w:rsid w:val="00021464"/>
    <w:rsid w:val="000216E4"/>
    <w:rsid w:val="00021EC2"/>
    <w:rsid w:val="00022D52"/>
    <w:rsid w:val="00023536"/>
    <w:rsid w:val="00023EF3"/>
    <w:rsid w:val="0002400E"/>
    <w:rsid w:val="00025740"/>
    <w:rsid w:val="00027E22"/>
    <w:rsid w:val="00030183"/>
    <w:rsid w:val="000318B1"/>
    <w:rsid w:val="00031955"/>
    <w:rsid w:val="00034665"/>
    <w:rsid w:val="000346BA"/>
    <w:rsid w:val="000355E3"/>
    <w:rsid w:val="0003590F"/>
    <w:rsid w:val="00035D11"/>
    <w:rsid w:val="000360AF"/>
    <w:rsid w:val="0003662F"/>
    <w:rsid w:val="000376E4"/>
    <w:rsid w:val="00037981"/>
    <w:rsid w:val="00040819"/>
    <w:rsid w:val="000425BC"/>
    <w:rsid w:val="00042CD1"/>
    <w:rsid w:val="0004350B"/>
    <w:rsid w:val="00043FBB"/>
    <w:rsid w:val="00044357"/>
    <w:rsid w:val="00045677"/>
    <w:rsid w:val="00046B94"/>
    <w:rsid w:val="00046CB8"/>
    <w:rsid w:val="00047919"/>
    <w:rsid w:val="00050F33"/>
    <w:rsid w:val="00051511"/>
    <w:rsid w:val="00053B63"/>
    <w:rsid w:val="00053DF3"/>
    <w:rsid w:val="000549E0"/>
    <w:rsid w:val="00054FC2"/>
    <w:rsid w:val="00055F63"/>
    <w:rsid w:val="00056050"/>
    <w:rsid w:val="0005715C"/>
    <w:rsid w:val="0006107E"/>
    <w:rsid w:val="00061169"/>
    <w:rsid w:val="000622D3"/>
    <w:rsid w:val="000624C2"/>
    <w:rsid w:val="000627E2"/>
    <w:rsid w:val="00063025"/>
    <w:rsid w:val="000635F5"/>
    <w:rsid w:val="00063B0E"/>
    <w:rsid w:val="00064118"/>
    <w:rsid w:val="00064748"/>
    <w:rsid w:val="00064898"/>
    <w:rsid w:val="000648E6"/>
    <w:rsid w:val="000651BE"/>
    <w:rsid w:val="0006683B"/>
    <w:rsid w:val="00066C2E"/>
    <w:rsid w:val="0006737B"/>
    <w:rsid w:val="000678AF"/>
    <w:rsid w:val="00067A35"/>
    <w:rsid w:val="00071C70"/>
    <w:rsid w:val="0007289E"/>
    <w:rsid w:val="00072FCC"/>
    <w:rsid w:val="00073B9D"/>
    <w:rsid w:val="00074C9B"/>
    <w:rsid w:val="00076407"/>
    <w:rsid w:val="00076446"/>
    <w:rsid w:val="000779AE"/>
    <w:rsid w:val="0008040B"/>
    <w:rsid w:val="0008126C"/>
    <w:rsid w:val="00081734"/>
    <w:rsid w:val="000834F9"/>
    <w:rsid w:val="00083F9A"/>
    <w:rsid w:val="00084DCB"/>
    <w:rsid w:val="00086FFC"/>
    <w:rsid w:val="0008767E"/>
    <w:rsid w:val="0008793A"/>
    <w:rsid w:val="00090037"/>
    <w:rsid w:val="00090D69"/>
    <w:rsid w:val="00091CD7"/>
    <w:rsid w:val="00092DC8"/>
    <w:rsid w:val="00093107"/>
    <w:rsid w:val="000947B7"/>
    <w:rsid w:val="00094892"/>
    <w:rsid w:val="000963FB"/>
    <w:rsid w:val="0009690D"/>
    <w:rsid w:val="000969C7"/>
    <w:rsid w:val="00096B49"/>
    <w:rsid w:val="000A021D"/>
    <w:rsid w:val="000A16DC"/>
    <w:rsid w:val="000A42B3"/>
    <w:rsid w:val="000A5515"/>
    <w:rsid w:val="000A6288"/>
    <w:rsid w:val="000A72D3"/>
    <w:rsid w:val="000A7B37"/>
    <w:rsid w:val="000A7CFE"/>
    <w:rsid w:val="000B0206"/>
    <w:rsid w:val="000B072F"/>
    <w:rsid w:val="000B09B6"/>
    <w:rsid w:val="000B1188"/>
    <w:rsid w:val="000B21ED"/>
    <w:rsid w:val="000B3457"/>
    <w:rsid w:val="000B3467"/>
    <w:rsid w:val="000B4691"/>
    <w:rsid w:val="000B674B"/>
    <w:rsid w:val="000C38FD"/>
    <w:rsid w:val="000C3E7A"/>
    <w:rsid w:val="000C3E8D"/>
    <w:rsid w:val="000C4368"/>
    <w:rsid w:val="000C497F"/>
    <w:rsid w:val="000C5757"/>
    <w:rsid w:val="000C7F1B"/>
    <w:rsid w:val="000D0A72"/>
    <w:rsid w:val="000D19EE"/>
    <w:rsid w:val="000D1B7D"/>
    <w:rsid w:val="000D1F0D"/>
    <w:rsid w:val="000D5A9E"/>
    <w:rsid w:val="000E0E6E"/>
    <w:rsid w:val="000E28F6"/>
    <w:rsid w:val="000E466E"/>
    <w:rsid w:val="000E47ED"/>
    <w:rsid w:val="000F1CA8"/>
    <w:rsid w:val="000F2AD5"/>
    <w:rsid w:val="000F2FE4"/>
    <w:rsid w:val="000F35A7"/>
    <w:rsid w:val="000F42EA"/>
    <w:rsid w:val="000F4653"/>
    <w:rsid w:val="000F4728"/>
    <w:rsid w:val="000F490A"/>
    <w:rsid w:val="000F592C"/>
    <w:rsid w:val="000F6253"/>
    <w:rsid w:val="000F6B2D"/>
    <w:rsid w:val="0010099F"/>
    <w:rsid w:val="00100EAA"/>
    <w:rsid w:val="00101D96"/>
    <w:rsid w:val="00102770"/>
    <w:rsid w:val="00102A16"/>
    <w:rsid w:val="00102C4F"/>
    <w:rsid w:val="00102EA6"/>
    <w:rsid w:val="00103FFE"/>
    <w:rsid w:val="00104515"/>
    <w:rsid w:val="00104691"/>
    <w:rsid w:val="00105451"/>
    <w:rsid w:val="001055D7"/>
    <w:rsid w:val="001062DC"/>
    <w:rsid w:val="00106D5D"/>
    <w:rsid w:val="0010747B"/>
    <w:rsid w:val="001074CF"/>
    <w:rsid w:val="00107CEA"/>
    <w:rsid w:val="00107E3B"/>
    <w:rsid w:val="00107F8F"/>
    <w:rsid w:val="00112012"/>
    <w:rsid w:val="001124D0"/>
    <w:rsid w:val="0011281F"/>
    <w:rsid w:val="00112927"/>
    <w:rsid w:val="00113FD6"/>
    <w:rsid w:val="00114927"/>
    <w:rsid w:val="0011498A"/>
    <w:rsid w:val="00115008"/>
    <w:rsid w:val="00115F63"/>
    <w:rsid w:val="0011694E"/>
    <w:rsid w:val="0012122C"/>
    <w:rsid w:val="001219A6"/>
    <w:rsid w:val="00122550"/>
    <w:rsid w:val="00122959"/>
    <w:rsid w:val="00123C49"/>
    <w:rsid w:val="00124ABD"/>
    <w:rsid w:val="00124C66"/>
    <w:rsid w:val="0012668D"/>
    <w:rsid w:val="001267AB"/>
    <w:rsid w:val="0013004B"/>
    <w:rsid w:val="00130BAB"/>
    <w:rsid w:val="001317B0"/>
    <w:rsid w:val="00133BD1"/>
    <w:rsid w:val="00134744"/>
    <w:rsid w:val="0013506A"/>
    <w:rsid w:val="00136B8A"/>
    <w:rsid w:val="00140B59"/>
    <w:rsid w:val="001413E2"/>
    <w:rsid w:val="00141DF5"/>
    <w:rsid w:val="0014200A"/>
    <w:rsid w:val="00142251"/>
    <w:rsid w:val="0014350C"/>
    <w:rsid w:val="00145BCF"/>
    <w:rsid w:val="00146257"/>
    <w:rsid w:val="0014641C"/>
    <w:rsid w:val="0014675F"/>
    <w:rsid w:val="00147498"/>
    <w:rsid w:val="001518E4"/>
    <w:rsid w:val="00151A5A"/>
    <w:rsid w:val="00153158"/>
    <w:rsid w:val="001532F7"/>
    <w:rsid w:val="0015338A"/>
    <w:rsid w:val="00154ACC"/>
    <w:rsid w:val="00154D2B"/>
    <w:rsid w:val="001551BD"/>
    <w:rsid w:val="001552C7"/>
    <w:rsid w:val="001567C7"/>
    <w:rsid w:val="00156CCD"/>
    <w:rsid w:val="00160015"/>
    <w:rsid w:val="00160341"/>
    <w:rsid w:val="001619F2"/>
    <w:rsid w:val="001647CB"/>
    <w:rsid w:val="00164EF5"/>
    <w:rsid w:val="00164F81"/>
    <w:rsid w:val="00166325"/>
    <w:rsid w:val="00167573"/>
    <w:rsid w:val="00167A10"/>
    <w:rsid w:val="001701BF"/>
    <w:rsid w:val="00170E7A"/>
    <w:rsid w:val="00171B16"/>
    <w:rsid w:val="00172E6A"/>
    <w:rsid w:val="00174046"/>
    <w:rsid w:val="0017598C"/>
    <w:rsid w:val="001767B9"/>
    <w:rsid w:val="0017736F"/>
    <w:rsid w:val="001800F1"/>
    <w:rsid w:val="0018015D"/>
    <w:rsid w:val="00180487"/>
    <w:rsid w:val="001804BE"/>
    <w:rsid w:val="001809C2"/>
    <w:rsid w:val="00181541"/>
    <w:rsid w:val="00182EC6"/>
    <w:rsid w:val="001839E1"/>
    <w:rsid w:val="00183F16"/>
    <w:rsid w:val="00184060"/>
    <w:rsid w:val="001841CA"/>
    <w:rsid w:val="00186011"/>
    <w:rsid w:val="00186420"/>
    <w:rsid w:val="00186E2F"/>
    <w:rsid w:val="0018702A"/>
    <w:rsid w:val="00190278"/>
    <w:rsid w:val="0019125A"/>
    <w:rsid w:val="00192CAD"/>
    <w:rsid w:val="001938B2"/>
    <w:rsid w:val="00196D73"/>
    <w:rsid w:val="001A1536"/>
    <w:rsid w:val="001A191D"/>
    <w:rsid w:val="001A2A93"/>
    <w:rsid w:val="001A33F1"/>
    <w:rsid w:val="001A3966"/>
    <w:rsid w:val="001A396B"/>
    <w:rsid w:val="001A4481"/>
    <w:rsid w:val="001A59CE"/>
    <w:rsid w:val="001A65DC"/>
    <w:rsid w:val="001A7912"/>
    <w:rsid w:val="001B02DC"/>
    <w:rsid w:val="001B0330"/>
    <w:rsid w:val="001B05C8"/>
    <w:rsid w:val="001B0841"/>
    <w:rsid w:val="001B086B"/>
    <w:rsid w:val="001B172B"/>
    <w:rsid w:val="001B1E7C"/>
    <w:rsid w:val="001B2583"/>
    <w:rsid w:val="001B2944"/>
    <w:rsid w:val="001B3536"/>
    <w:rsid w:val="001B70CE"/>
    <w:rsid w:val="001B7865"/>
    <w:rsid w:val="001B7B8B"/>
    <w:rsid w:val="001C05DE"/>
    <w:rsid w:val="001C158D"/>
    <w:rsid w:val="001C2D0B"/>
    <w:rsid w:val="001C3793"/>
    <w:rsid w:val="001C5575"/>
    <w:rsid w:val="001C5B13"/>
    <w:rsid w:val="001C5B6E"/>
    <w:rsid w:val="001C6176"/>
    <w:rsid w:val="001C6A72"/>
    <w:rsid w:val="001C7D2C"/>
    <w:rsid w:val="001C7FC7"/>
    <w:rsid w:val="001D179D"/>
    <w:rsid w:val="001D1D47"/>
    <w:rsid w:val="001D1F75"/>
    <w:rsid w:val="001D4251"/>
    <w:rsid w:val="001D4AC2"/>
    <w:rsid w:val="001D4E86"/>
    <w:rsid w:val="001D539A"/>
    <w:rsid w:val="001D6CF9"/>
    <w:rsid w:val="001D795E"/>
    <w:rsid w:val="001D7D95"/>
    <w:rsid w:val="001D7FEB"/>
    <w:rsid w:val="001E033D"/>
    <w:rsid w:val="001E0C88"/>
    <w:rsid w:val="001E2606"/>
    <w:rsid w:val="001E31F7"/>
    <w:rsid w:val="001E4B4C"/>
    <w:rsid w:val="001E54E7"/>
    <w:rsid w:val="001E7054"/>
    <w:rsid w:val="001F02B0"/>
    <w:rsid w:val="001F1D18"/>
    <w:rsid w:val="001F2986"/>
    <w:rsid w:val="001F3AE8"/>
    <w:rsid w:val="001F3F79"/>
    <w:rsid w:val="001F4459"/>
    <w:rsid w:val="001F4786"/>
    <w:rsid w:val="001F4D4E"/>
    <w:rsid w:val="001F7D1C"/>
    <w:rsid w:val="00201544"/>
    <w:rsid w:val="0020238A"/>
    <w:rsid w:val="00202A2B"/>
    <w:rsid w:val="00202D34"/>
    <w:rsid w:val="00204219"/>
    <w:rsid w:val="00205F01"/>
    <w:rsid w:val="00205F34"/>
    <w:rsid w:val="0020799B"/>
    <w:rsid w:val="00207B4A"/>
    <w:rsid w:val="00211024"/>
    <w:rsid w:val="0021170E"/>
    <w:rsid w:val="0021289F"/>
    <w:rsid w:val="00212B35"/>
    <w:rsid w:val="00212C2C"/>
    <w:rsid w:val="002140E6"/>
    <w:rsid w:val="0021595B"/>
    <w:rsid w:val="00216F29"/>
    <w:rsid w:val="00217008"/>
    <w:rsid w:val="0021701E"/>
    <w:rsid w:val="00217026"/>
    <w:rsid w:val="00217087"/>
    <w:rsid w:val="00217887"/>
    <w:rsid w:val="00217CE6"/>
    <w:rsid w:val="00220042"/>
    <w:rsid w:val="002209FD"/>
    <w:rsid w:val="00221FDD"/>
    <w:rsid w:val="0022376A"/>
    <w:rsid w:val="002248FB"/>
    <w:rsid w:val="00225E5B"/>
    <w:rsid w:val="00226202"/>
    <w:rsid w:val="0022625D"/>
    <w:rsid w:val="00226CEE"/>
    <w:rsid w:val="0022789F"/>
    <w:rsid w:val="00227EE0"/>
    <w:rsid w:val="00231DF8"/>
    <w:rsid w:val="0023537D"/>
    <w:rsid w:val="00237C57"/>
    <w:rsid w:val="00240551"/>
    <w:rsid w:val="00240E8E"/>
    <w:rsid w:val="0024295D"/>
    <w:rsid w:val="0024392C"/>
    <w:rsid w:val="00243CD0"/>
    <w:rsid w:val="00243F16"/>
    <w:rsid w:val="00244252"/>
    <w:rsid w:val="002445CD"/>
    <w:rsid w:val="00244A70"/>
    <w:rsid w:val="0024567E"/>
    <w:rsid w:val="00245EC3"/>
    <w:rsid w:val="00245F21"/>
    <w:rsid w:val="0024626D"/>
    <w:rsid w:val="00246ED8"/>
    <w:rsid w:val="00247025"/>
    <w:rsid w:val="00247FC1"/>
    <w:rsid w:val="0025136A"/>
    <w:rsid w:val="00251C49"/>
    <w:rsid w:val="00251F49"/>
    <w:rsid w:val="00252C84"/>
    <w:rsid w:val="002534EE"/>
    <w:rsid w:val="002573C9"/>
    <w:rsid w:val="00257B09"/>
    <w:rsid w:val="00260250"/>
    <w:rsid w:val="00260A0A"/>
    <w:rsid w:val="002657F5"/>
    <w:rsid w:val="002671A4"/>
    <w:rsid w:val="0026782C"/>
    <w:rsid w:val="00267FE0"/>
    <w:rsid w:val="00271C4B"/>
    <w:rsid w:val="0027205E"/>
    <w:rsid w:val="00272084"/>
    <w:rsid w:val="00272C33"/>
    <w:rsid w:val="00272D24"/>
    <w:rsid w:val="00273AF4"/>
    <w:rsid w:val="002749AE"/>
    <w:rsid w:val="002769AF"/>
    <w:rsid w:val="00280334"/>
    <w:rsid w:val="00280382"/>
    <w:rsid w:val="002805AC"/>
    <w:rsid w:val="00280B73"/>
    <w:rsid w:val="00283073"/>
    <w:rsid w:val="002843E9"/>
    <w:rsid w:val="00285AD7"/>
    <w:rsid w:val="00285E9D"/>
    <w:rsid w:val="0028735C"/>
    <w:rsid w:val="00290CEB"/>
    <w:rsid w:val="002911B6"/>
    <w:rsid w:val="0029133B"/>
    <w:rsid w:val="00291CA3"/>
    <w:rsid w:val="00292DDA"/>
    <w:rsid w:val="00292F09"/>
    <w:rsid w:val="00293421"/>
    <w:rsid w:val="002934FC"/>
    <w:rsid w:val="0029521E"/>
    <w:rsid w:val="00295CC7"/>
    <w:rsid w:val="00295CE6"/>
    <w:rsid w:val="00295F37"/>
    <w:rsid w:val="00296A54"/>
    <w:rsid w:val="00296C13"/>
    <w:rsid w:val="00297EAF"/>
    <w:rsid w:val="002A0F01"/>
    <w:rsid w:val="002A18FC"/>
    <w:rsid w:val="002A2E2A"/>
    <w:rsid w:val="002A2EC0"/>
    <w:rsid w:val="002A2EE9"/>
    <w:rsid w:val="002A3BA3"/>
    <w:rsid w:val="002A3BAB"/>
    <w:rsid w:val="002A504E"/>
    <w:rsid w:val="002A5A85"/>
    <w:rsid w:val="002A5BE0"/>
    <w:rsid w:val="002A6401"/>
    <w:rsid w:val="002A6473"/>
    <w:rsid w:val="002A6A06"/>
    <w:rsid w:val="002A6F46"/>
    <w:rsid w:val="002B1970"/>
    <w:rsid w:val="002B248A"/>
    <w:rsid w:val="002B31B9"/>
    <w:rsid w:val="002B3640"/>
    <w:rsid w:val="002B40AB"/>
    <w:rsid w:val="002B40B3"/>
    <w:rsid w:val="002B4326"/>
    <w:rsid w:val="002B47F8"/>
    <w:rsid w:val="002B4DF3"/>
    <w:rsid w:val="002B661F"/>
    <w:rsid w:val="002B77BF"/>
    <w:rsid w:val="002C093C"/>
    <w:rsid w:val="002C1174"/>
    <w:rsid w:val="002C1F34"/>
    <w:rsid w:val="002C3A08"/>
    <w:rsid w:val="002C3A79"/>
    <w:rsid w:val="002C3BA1"/>
    <w:rsid w:val="002C413C"/>
    <w:rsid w:val="002C4825"/>
    <w:rsid w:val="002C4A90"/>
    <w:rsid w:val="002C4BEB"/>
    <w:rsid w:val="002C4EF2"/>
    <w:rsid w:val="002C508E"/>
    <w:rsid w:val="002C52DC"/>
    <w:rsid w:val="002C635E"/>
    <w:rsid w:val="002C67FF"/>
    <w:rsid w:val="002C6D27"/>
    <w:rsid w:val="002D0D4A"/>
    <w:rsid w:val="002D1145"/>
    <w:rsid w:val="002D1950"/>
    <w:rsid w:val="002D1A4D"/>
    <w:rsid w:val="002D1D18"/>
    <w:rsid w:val="002D24F1"/>
    <w:rsid w:val="002D28F7"/>
    <w:rsid w:val="002D4035"/>
    <w:rsid w:val="002D510C"/>
    <w:rsid w:val="002D58B5"/>
    <w:rsid w:val="002D59E5"/>
    <w:rsid w:val="002D656E"/>
    <w:rsid w:val="002D6A5E"/>
    <w:rsid w:val="002D71BA"/>
    <w:rsid w:val="002D7A49"/>
    <w:rsid w:val="002D7E83"/>
    <w:rsid w:val="002E5496"/>
    <w:rsid w:val="002E6D8C"/>
    <w:rsid w:val="002F0000"/>
    <w:rsid w:val="002F0630"/>
    <w:rsid w:val="002F0A9F"/>
    <w:rsid w:val="002F1147"/>
    <w:rsid w:val="002F1A07"/>
    <w:rsid w:val="002F2C5B"/>
    <w:rsid w:val="002F2FFB"/>
    <w:rsid w:val="002F3E04"/>
    <w:rsid w:val="002F4529"/>
    <w:rsid w:val="002F53BD"/>
    <w:rsid w:val="002F59BA"/>
    <w:rsid w:val="002F5F8E"/>
    <w:rsid w:val="002F7A39"/>
    <w:rsid w:val="002F7ADD"/>
    <w:rsid w:val="002F7DB5"/>
    <w:rsid w:val="00300A86"/>
    <w:rsid w:val="003015B8"/>
    <w:rsid w:val="003075D3"/>
    <w:rsid w:val="003076DC"/>
    <w:rsid w:val="00307D95"/>
    <w:rsid w:val="00313271"/>
    <w:rsid w:val="0031457F"/>
    <w:rsid w:val="00317283"/>
    <w:rsid w:val="00317C96"/>
    <w:rsid w:val="00317EF5"/>
    <w:rsid w:val="00321346"/>
    <w:rsid w:val="003218B7"/>
    <w:rsid w:val="00321EC4"/>
    <w:rsid w:val="00323E9C"/>
    <w:rsid w:val="003248FD"/>
    <w:rsid w:val="00324E9C"/>
    <w:rsid w:val="0032688E"/>
    <w:rsid w:val="00326A57"/>
    <w:rsid w:val="00327632"/>
    <w:rsid w:val="003309FA"/>
    <w:rsid w:val="00331383"/>
    <w:rsid w:val="003313AF"/>
    <w:rsid w:val="00333116"/>
    <w:rsid w:val="0033398F"/>
    <w:rsid w:val="00333A4D"/>
    <w:rsid w:val="00333CC5"/>
    <w:rsid w:val="003343B9"/>
    <w:rsid w:val="0033486B"/>
    <w:rsid w:val="00335F00"/>
    <w:rsid w:val="003365AC"/>
    <w:rsid w:val="00340612"/>
    <w:rsid w:val="00343529"/>
    <w:rsid w:val="003438D6"/>
    <w:rsid w:val="003438DF"/>
    <w:rsid w:val="00344F68"/>
    <w:rsid w:val="00345043"/>
    <w:rsid w:val="003466AC"/>
    <w:rsid w:val="00350F71"/>
    <w:rsid w:val="003524B0"/>
    <w:rsid w:val="00353D7E"/>
    <w:rsid w:val="00355F6D"/>
    <w:rsid w:val="0036015F"/>
    <w:rsid w:val="003603D9"/>
    <w:rsid w:val="0036096D"/>
    <w:rsid w:val="00360A6F"/>
    <w:rsid w:val="003615BB"/>
    <w:rsid w:val="003621B6"/>
    <w:rsid w:val="003625DE"/>
    <w:rsid w:val="003626E3"/>
    <w:rsid w:val="00364216"/>
    <w:rsid w:val="0036442F"/>
    <w:rsid w:val="003647BD"/>
    <w:rsid w:val="003670C2"/>
    <w:rsid w:val="0037094F"/>
    <w:rsid w:val="00371213"/>
    <w:rsid w:val="00372093"/>
    <w:rsid w:val="003744AD"/>
    <w:rsid w:val="003758C1"/>
    <w:rsid w:val="003763EB"/>
    <w:rsid w:val="0037645D"/>
    <w:rsid w:val="00376478"/>
    <w:rsid w:val="0037654B"/>
    <w:rsid w:val="003768E4"/>
    <w:rsid w:val="0037690D"/>
    <w:rsid w:val="00376B8D"/>
    <w:rsid w:val="003773E0"/>
    <w:rsid w:val="00377580"/>
    <w:rsid w:val="00377E20"/>
    <w:rsid w:val="003808AD"/>
    <w:rsid w:val="00380BC8"/>
    <w:rsid w:val="00381638"/>
    <w:rsid w:val="00381E6E"/>
    <w:rsid w:val="003822F9"/>
    <w:rsid w:val="003826B9"/>
    <w:rsid w:val="00382DD7"/>
    <w:rsid w:val="00383344"/>
    <w:rsid w:val="003833A6"/>
    <w:rsid w:val="0038432F"/>
    <w:rsid w:val="003848BB"/>
    <w:rsid w:val="00385776"/>
    <w:rsid w:val="0038577A"/>
    <w:rsid w:val="003864DE"/>
    <w:rsid w:val="00386FA2"/>
    <w:rsid w:val="00387697"/>
    <w:rsid w:val="003905DB"/>
    <w:rsid w:val="00390657"/>
    <w:rsid w:val="00391A08"/>
    <w:rsid w:val="0039228F"/>
    <w:rsid w:val="00392E1C"/>
    <w:rsid w:val="00393059"/>
    <w:rsid w:val="003934EC"/>
    <w:rsid w:val="0039364C"/>
    <w:rsid w:val="003937C5"/>
    <w:rsid w:val="003941F4"/>
    <w:rsid w:val="00394EA2"/>
    <w:rsid w:val="00395ADC"/>
    <w:rsid w:val="00396C05"/>
    <w:rsid w:val="003974CC"/>
    <w:rsid w:val="00397FEE"/>
    <w:rsid w:val="003A0199"/>
    <w:rsid w:val="003A16F9"/>
    <w:rsid w:val="003A2785"/>
    <w:rsid w:val="003A2E37"/>
    <w:rsid w:val="003A3AAB"/>
    <w:rsid w:val="003A3F50"/>
    <w:rsid w:val="003A444A"/>
    <w:rsid w:val="003A4CAA"/>
    <w:rsid w:val="003A58C8"/>
    <w:rsid w:val="003A5F84"/>
    <w:rsid w:val="003A6DE3"/>
    <w:rsid w:val="003A7B3A"/>
    <w:rsid w:val="003A7E77"/>
    <w:rsid w:val="003B0B77"/>
    <w:rsid w:val="003B2276"/>
    <w:rsid w:val="003B4550"/>
    <w:rsid w:val="003B4867"/>
    <w:rsid w:val="003B5CF7"/>
    <w:rsid w:val="003B6715"/>
    <w:rsid w:val="003B67F9"/>
    <w:rsid w:val="003B7DB2"/>
    <w:rsid w:val="003C1ABD"/>
    <w:rsid w:val="003C208C"/>
    <w:rsid w:val="003C30AB"/>
    <w:rsid w:val="003C39CF"/>
    <w:rsid w:val="003C3A6C"/>
    <w:rsid w:val="003C4E9C"/>
    <w:rsid w:val="003C5182"/>
    <w:rsid w:val="003C6647"/>
    <w:rsid w:val="003C76C9"/>
    <w:rsid w:val="003C7B95"/>
    <w:rsid w:val="003D0D17"/>
    <w:rsid w:val="003D0F13"/>
    <w:rsid w:val="003D1657"/>
    <w:rsid w:val="003D1BE8"/>
    <w:rsid w:val="003D3927"/>
    <w:rsid w:val="003D3EC2"/>
    <w:rsid w:val="003D47EF"/>
    <w:rsid w:val="003D4FE1"/>
    <w:rsid w:val="003D542A"/>
    <w:rsid w:val="003D5560"/>
    <w:rsid w:val="003D5BDB"/>
    <w:rsid w:val="003D69BE"/>
    <w:rsid w:val="003D7968"/>
    <w:rsid w:val="003E0CAC"/>
    <w:rsid w:val="003E1113"/>
    <w:rsid w:val="003E1289"/>
    <w:rsid w:val="003E159A"/>
    <w:rsid w:val="003E2C4D"/>
    <w:rsid w:val="003E2F1D"/>
    <w:rsid w:val="003E373C"/>
    <w:rsid w:val="003E3E14"/>
    <w:rsid w:val="003E4B35"/>
    <w:rsid w:val="003E6379"/>
    <w:rsid w:val="003F01BF"/>
    <w:rsid w:val="003F2649"/>
    <w:rsid w:val="003F32F6"/>
    <w:rsid w:val="003F3602"/>
    <w:rsid w:val="003F360A"/>
    <w:rsid w:val="003F403E"/>
    <w:rsid w:val="003F49F2"/>
    <w:rsid w:val="003F57E7"/>
    <w:rsid w:val="00400C6E"/>
    <w:rsid w:val="004011D2"/>
    <w:rsid w:val="0040282E"/>
    <w:rsid w:val="004033B2"/>
    <w:rsid w:val="00403688"/>
    <w:rsid w:val="00403DC0"/>
    <w:rsid w:val="00403FA2"/>
    <w:rsid w:val="00406452"/>
    <w:rsid w:val="004105AB"/>
    <w:rsid w:val="00411E36"/>
    <w:rsid w:val="00411E60"/>
    <w:rsid w:val="0041220C"/>
    <w:rsid w:val="00412EE1"/>
    <w:rsid w:val="0041471D"/>
    <w:rsid w:val="00414B25"/>
    <w:rsid w:val="00415028"/>
    <w:rsid w:val="00416F66"/>
    <w:rsid w:val="00420686"/>
    <w:rsid w:val="004207D9"/>
    <w:rsid w:val="004210F4"/>
    <w:rsid w:val="00421B66"/>
    <w:rsid w:val="00422BA8"/>
    <w:rsid w:val="00422D0D"/>
    <w:rsid w:val="0042490E"/>
    <w:rsid w:val="0042548A"/>
    <w:rsid w:val="00425789"/>
    <w:rsid w:val="00425908"/>
    <w:rsid w:val="00425A53"/>
    <w:rsid w:val="00425FC2"/>
    <w:rsid w:val="004264C5"/>
    <w:rsid w:val="00426B43"/>
    <w:rsid w:val="00427A94"/>
    <w:rsid w:val="004301D5"/>
    <w:rsid w:val="00430212"/>
    <w:rsid w:val="00430843"/>
    <w:rsid w:val="004322FE"/>
    <w:rsid w:val="0043440F"/>
    <w:rsid w:val="004353A9"/>
    <w:rsid w:val="0043637E"/>
    <w:rsid w:val="00440E28"/>
    <w:rsid w:val="00441483"/>
    <w:rsid w:val="004441FC"/>
    <w:rsid w:val="004447FB"/>
    <w:rsid w:val="0044617F"/>
    <w:rsid w:val="004462FC"/>
    <w:rsid w:val="00447FB4"/>
    <w:rsid w:val="004510B7"/>
    <w:rsid w:val="004513FB"/>
    <w:rsid w:val="00452805"/>
    <w:rsid w:val="00453029"/>
    <w:rsid w:val="004534A7"/>
    <w:rsid w:val="00454A37"/>
    <w:rsid w:val="00460819"/>
    <w:rsid w:val="00461314"/>
    <w:rsid w:val="004618CC"/>
    <w:rsid w:val="00461B0A"/>
    <w:rsid w:val="00461D43"/>
    <w:rsid w:val="00470A9D"/>
    <w:rsid w:val="00471302"/>
    <w:rsid w:val="00471F5A"/>
    <w:rsid w:val="00472536"/>
    <w:rsid w:val="004725BD"/>
    <w:rsid w:val="00472CDC"/>
    <w:rsid w:val="0047312C"/>
    <w:rsid w:val="004744FF"/>
    <w:rsid w:val="0047472C"/>
    <w:rsid w:val="00474825"/>
    <w:rsid w:val="00474997"/>
    <w:rsid w:val="00475A65"/>
    <w:rsid w:val="0047683E"/>
    <w:rsid w:val="00476EEA"/>
    <w:rsid w:val="00477A76"/>
    <w:rsid w:val="00477D09"/>
    <w:rsid w:val="00480395"/>
    <w:rsid w:val="00480649"/>
    <w:rsid w:val="00480F9E"/>
    <w:rsid w:val="0048122A"/>
    <w:rsid w:val="00481380"/>
    <w:rsid w:val="004816B8"/>
    <w:rsid w:val="0048173D"/>
    <w:rsid w:val="00482389"/>
    <w:rsid w:val="00482CD9"/>
    <w:rsid w:val="00483D83"/>
    <w:rsid w:val="004848F7"/>
    <w:rsid w:val="0048562B"/>
    <w:rsid w:val="00485C6C"/>
    <w:rsid w:val="00485F40"/>
    <w:rsid w:val="0048734D"/>
    <w:rsid w:val="004914C1"/>
    <w:rsid w:val="004932BC"/>
    <w:rsid w:val="004933DE"/>
    <w:rsid w:val="0049545F"/>
    <w:rsid w:val="00495E80"/>
    <w:rsid w:val="00495FEF"/>
    <w:rsid w:val="0049627D"/>
    <w:rsid w:val="00497563"/>
    <w:rsid w:val="00497AA8"/>
    <w:rsid w:val="00497B14"/>
    <w:rsid w:val="004A00E1"/>
    <w:rsid w:val="004A0688"/>
    <w:rsid w:val="004A0C3D"/>
    <w:rsid w:val="004A14AA"/>
    <w:rsid w:val="004A22F1"/>
    <w:rsid w:val="004A2DC3"/>
    <w:rsid w:val="004A3343"/>
    <w:rsid w:val="004A35E7"/>
    <w:rsid w:val="004A3A6B"/>
    <w:rsid w:val="004A4967"/>
    <w:rsid w:val="004A4D8B"/>
    <w:rsid w:val="004A5643"/>
    <w:rsid w:val="004A6099"/>
    <w:rsid w:val="004A678A"/>
    <w:rsid w:val="004A6C38"/>
    <w:rsid w:val="004A6D58"/>
    <w:rsid w:val="004B06EB"/>
    <w:rsid w:val="004B1427"/>
    <w:rsid w:val="004B14AA"/>
    <w:rsid w:val="004B18DF"/>
    <w:rsid w:val="004B2745"/>
    <w:rsid w:val="004B4193"/>
    <w:rsid w:val="004B4323"/>
    <w:rsid w:val="004B479D"/>
    <w:rsid w:val="004B49B9"/>
    <w:rsid w:val="004B6002"/>
    <w:rsid w:val="004B6021"/>
    <w:rsid w:val="004B676D"/>
    <w:rsid w:val="004B6BF7"/>
    <w:rsid w:val="004B7148"/>
    <w:rsid w:val="004B780F"/>
    <w:rsid w:val="004B7C7A"/>
    <w:rsid w:val="004C04F5"/>
    <w:rsid w:val="004C0577"/>
    <w:rsid w:val="004C06A2"/>
    <w:rsid w:val="004C0ABF"/>
    <w:rsid w:val="004C1B37"/>
    <w:rsid w:val="004C31A3"/>
    <w:rsid w:val="004C35D9"/>
    <w:rsid w:val="004C58B9"/>
    <w:rsid w:val="004C6029"/>
    <w:rsid w:val="004C7D96"/>
    <w:rsid w:val="004D39C0"/>
    <w:rsid w:val="004D4C80"/>
    <w:rsid w:val="004D550D"/>
    <w:rsid w:val="004D5535"/>
    <w:rsid w:val="004D655C"/>
    <w:rsid w:val="004D6AB3"/>
    <w:rsid w:val="004D6C46"/>
    <w:rsid w:val="004D76C7"/>
    <w:rsid w:val="004D7943"/>
    <w:rsid w:val="004D7F98"/>
    <w:rsid w:val="004E0D6F"/>
    <w:rsid w:val="004E0F8B"/>
    <w:rsid w:val="004E238B"/>
    <w:rsid w:val="004E370F"/>
    <w:rsid w:val="004E3BE9"/>
    <w:rsid w:val="004E3E90"/>
    <w:rsid w:val="004E4DE0"/>
    <w:rsid w:val="004E4E8A"/>
    <w:rsid w:val="004E539A"/>
    <w:rsid w:val="004E56D1"/>
    <w:rsid w:val="004E56F2"/>
    <w:rsid w:val="004E5F66"/>
    <w:rsid w:val="004E7A29"/>
    <w:rsid w:val="004F0F19"/>
    <w:rsid w:val="004F1019"/>
    <w:rsid w:val="004F13D0"/>
    <w:rsid w:val="004F4AAB"/>
    <w:rsid w:val="004F4B67"/>
    <w:rsid w:val="004F4CB9"/>
    <w:rsid w:val="004F52E7"/>
    <w:rsid w:val="004F5EDB"/>
    <w:rsid w:val="004F6BA1"/>
    <w:rsid w:val="004F736E"/>
    <w:rsid w:val="00500560"/>
    <w:rsid w:val="00503428"/>
    <w:rsid w:val="00503A52"/>
    <w:rsid w:val="0050404E"/>
    <w:rsid w:val="005050FA"/>
    <w:rsid w:val="0050539E"/>
    <w:rsid w:val="00505534"/>
    <w:rsid w:val="005067EA"/>
    <w:rsid w:val="00507427"/>
    <w:rsid w:val="00507604"/>
    <w:rsid w:val="005077FE"/>
    <w:rsid w:val="00507901"/>
    <w:rsid w:val="00507F0E"/>
    <w:rsid w:val="0051078A"/>
    <w:rsid w:val="00511FF4"/>
    <w:rsid w:val="005125D5"/>
    <w:rsid w:val="00512EE0"/>
    <w:rsid w:val="005139A1"/>
    <w:rsid w:val="005153A7"/>
    <w:rsid w:val="00515A25"/>
    <w:rsid w:val="00515A4E"/>
    <w:rsid w:val="0051751F"/>
    <w:rsid w:val="005179C6"/>
    <w:rsid w:val="00517E3B"/>
    <w:rsid w:val="00520DC1"/>
    <w:rsid w:val="00521201"/>
    <w:rsid w:val="00521CF9"/>
    <w:rsid w:val="005223D0"/>
    <w:rsid w:val="00523255"/>
    <w:rsid w:val="00524BFA"/>
    <w:rsid w:val="00524F28"/>
    <w:rsid w:val="005251C1"/>
    <w:rsid w:val="0052651A"/>
    <w:rsid w:val="00531153"/>
    <w:rsid w:val="0053180C"/>
    <w:rsid w:val="00532DB0"/>
    <w:rsid w:val="005332F0"/>
    <w:rsid w:val="00533A14"/>
    <w:rsid w:val="005372F1"/>
    <w:rsid w:val="00537B67"/>
    <w:rsid w:val="00540453"/>
    <w:rsid w:val="00540D4C"/>
    <w:rsid w:val="005411B0"/>
    <w:rsid w:val="005418E0"/>
    <w:rsid w:val="00541A37"/>
    <w:rsid w:val="00541C2A"/>
    <w:rsid w:val="00543112"/>
    <w:rsid w:val="00543147"/>
    <w:rsid w:val="00543891"/>
    <w:rsid w:val="005448C7"/>
    <w:rsid w:val="005455B7"/>
    <w:rsid w:val="0054654C"/>
    <w:rsid w:val="005469D6"/>
    <w:rsid w:val="00547F4C"/>
    <w:rsid w:val="00547F6C"/>
    <w:rsid w:val="005505C4"/>
    <w:rsid w:val="0055079F"/>
    <w:rsid w:val="00550901"/>
    <w:rsid w:val="0055386C"/>
    <w:rsid w:val="005540D1"/>
    <w:rsid w:val="00554C63"/>
    <w:rsid w:val="00554C95"/>
    <w:rsid w:val="005552F3"/>
    <w:rsid w:val="00560286"/>
    <w:rsid w:val="00560C3B"/>
    <w:rsid w:val="005615EA"/>
    <w:rsid w:val="00561744"/>
    <w:rsid w:val="00561BD6"/>
    <w:rsid w:val="00561E99"/>
    <w:rsid w:val="00562119"/>
    <w:rsid w:val="00562D97"/>
    <w:rsid w:val="00562DAF"/>
    <w:rsid w:val="005630B1"/>
    <w:rsid w:val="005632AC"/>
    <w:rsid w:val="00563A35"/>
    <w:rsid w:val="00564013"/>
    <w:rsid w:val="00564A11"/>
    <w:rsid w:val="005665DF"/>
    <w:rsid w:val="00566EA6"/>
    <w:rsid w:val="00567143"/>
    <w:rsid w:val="00567504"/>
    <w:rsid w:val="0056770C"/>
    <w:rsid w:val="00567849"/>
    <w:rsid w:val="005700BE"/>
    <w:rsid w:val="005704CD"/>
    <w:rsid w:val="00570CC3"/>
    <w:rsid w:val="00571364"/>
    <w:rsid w:val="005717DB"/>
    <w:rsid w:val="00572FA7"/>
    <w:rsid w:val="00573364"/>
    <w:rsid w:val="00574130"/>
    <w:rsid w:val="00575938"/>
    <w:rsid w:val="00576CFD"/>
    <w:rsid w:val="00577F29"/>
    <w:rsid w:val="005801E7"/>
    <w:rsid w:val="005810D5"/>
    <w:rsid w:val="00582DE6"/>
    <w:rsid w:val="00584BE3"/>
    <w:rsid w:val="00586874"/>
    <w:rsid w:val="00586DFC"/>
    <w:rsid w:val="00590233"/>
    <w:rsid w:val="00590831"/>
    <w:rsid w:val="00590D2D"/>
    <w:rsid w:val="00590F89"/>
    <w:rsid w:val="005913B1"/>
    <w:rsid w:val="0059184E"/>
    <w:rsid w:val="005923EA"/>
    <w:rsid w:val="00592DE8"/>
    <w:rsid w:val="00592E53"/>
    <w:rsid w:val="00592F5F"/>
    <w:rsid w:val="00594AA2"/>
    <w:rsid w:val="005950AB"/>
    <w:rsid w:val="00596953"/>
    <w:rsid w:val="00596B40"/>
    <w:rsid w:val="005972D0"/>
    <w:rsid w:val="005A0674"/>
    <w:rsid w:val="005A10BE"/>
    <w:rsid w:val="005A215A"/>
    <w:rsid w:val="005A3703"/>
    <w:rsid w:val="005A5EDA"/>
    <w:rsid w:val="005A632A"/>
    <w:rsid w:val="005B17FF"/>
    <w:rsid w:val="005B4D0F"/>
    <w:rsid w:val="005B6367"/>
    <w:rsid w:val="005B7E60"/>
    <w:rsid w:val="005C0E4C"/>
    <w:rsid w:val="005C3308"/>
    <w:rsid w:val="005C4436"/>
    <w:rsid w:val="005C63D0"/>
    <w:rsid w:val="005C6724"/>
    <w:rsid w:val="005C6839"/>
    <w:rsid w:val="005C68BB"/>
    <w:rsid w:val="005C707F"/>
    <w:rsid w:val="005C7306"/>
    <w:rsid w:val="005C771B"/>
    <w:rsid w:val="005D0A44"/>
    <w:rsid w:val="005D0E41"/>
    <w:rsid w:val="005D1B58"/>
    <w:rsid w:val="005D24DD"/>
    <w:rsid w:val="005D27B9"/>
    <w:rsid w:val="005D4848"/>
    <w:rsid w:val="005D5935"/>
    <w:rsid w:val="005D6286"/>
    <w:rsid w:val="005D716E"/>
    <w:rsid w:val="005D727E"/>
    <w:rsid w:val="005E14A3"/>
    <w:rsid w:val="005E312B"/>
    <w:rsid w:val="005E44DC"/>
    <w:rsid w:val="005E6D6A"/>
    <w:rsid w:val="005F1715"/>
    <w:rsid w:val="005F18C9"/>
    <w:rsid w:val="005F2833"/>
    <w:rsid w:val="005F289D"/>
    <w:rsid w:val="005F2B31"/>
    <w:rsid w:val="005F3103"/>
    <w:rsid w:val="005F513A"/>
    <w:rsid w:val="005F5155"/>
    <w:rsid w:val="005F5A34"/>
    <w:rsid w:val="005F66A3"/>
    <w:rsid w:val="005F6E0E"/>
    <w:rsid w:val="005F6E15"/>
    <w:rsid w:val="005F7C0A"/>
    <w:rsid w:val="00600636"/>
    <w:rsid w:val="00600665"/>
    <w:rsid w:val="00600A77"/>
    <w:rsid w:val="006010AC"/>
    <w:rsid w:val="006025C3"/>
    <w:rsid w:val="006027FC"/>
    <w:rsid w:val="00603887"/>
    <w:rsid w:val="006047A2"/>
    <w:rsid w:val="00605786"/>
    <w:rsid w:val="00607257"/>
    <w:rsid w:val="00607259"/>
    <w:rsid w:val="006073CA"/>
    <w:rsid w:val="00607552"/>
    <w:rsid w:val="006100C5"/>
    <w:rsid w:val="00611AC5"/>
    <w:rsid w:val="00611CA8"/>
    <w:rsid w:val="006130DC"/>
    <w:rsid w:val="006138E2"/>
    <w:rsid w:val="0061397A"/>
    <w:rsid w:val="0061525E"/>
    <w:rsid w:val="0061591B"/>
    <w:rsid w:val="00616844"/>
    <w:rsid w:val="006170CF"/>
    <w:rsid w:val="006170E7"/>
    <w:rsid w:val="006177B3"/>
    <w:rsid w:val="0061794B"/>
    <w:rsid w:val="00617BFB"/>
    <w:rsid w:val="0062000B"/>
    <w:rsid w:val="00620C37"/>
    <w:rsid w:val="006215DD"/>
    <w:rsid w:val="006217D9"/>
    <w:rsid w:val="006229EC"/>
    <w:rsid w:val="006232BA"/>
    <w:rsid w:val="00623552"/>
    <w:rsid w:val="00623C0F"/>
    <w:rsid w:val="006258DE"/>
    <w:rsid w:val="0063102E"/>
    <w:rsid w:val="0063118B"/>
    <w:rsid w:val="00631253"/>
    <w:rsid w:val="00633D5F"/>
    <w:rsid w:val="006368C2"/>
    <w:rsid w:val="00636FFB"/>
    <w:rsid w:val="006372DA"/>
    <w:rsid w:val="00637E91"/>
    <w:rsid w:val="006433BB"/>
    <w:rsid w:val="00643D7D"/>
    <w:rsid w:val="00644CE3"/>
    <w:rsid w:val="00644EDC"/>
    <w:rsid w:val="00645CE1"/>
    <w:rsid w:val="006474D7"/>
    <w:rsid w:val="006474DE"/>
    <w:rsid w:val="00647DE8"/>
    <w:rsid w:val="00650B53"/>
    <w:rsid w:val="00652AE7"/>
    <w:rsid w:val="006543C2"/>
    <w:rsid w:val="00654736"/>
    <w:rsid w:val="00655D90"/>
    <w:rsid w:val="00655E76"/>
    <w:rsid w:val="006561B7"/>
    <w:rsid w:val="00657E8E"/>
    <w:rsid w:val="0066134F"/>
    <w:rsid w:val="00661837"/>
    <w:rsid w:val="00662839"/>
    <w:rsid w:val="00662FFB"/>
    <w:rsid w:val="00663C48"/>
    <w:rsid w:val="00664709"/>
    <w:rsid w:val="00665EF9"/>
    <w:rsid w:val="006675D2"/>
    <w:rsid w:val="00667A89"/>
    <w:rsid w:val="006703E8"/>
    <w:rsid w:val="00670D1E"/>
    <w:rsid w:val="00671FBD"/>
    <w:rsid w:val="0067275C"/>
    <w:rsid w:val="00673765"/>
    <w:rsid w:val="006737B1"/>
    <w:rsid w:val="006740CF"/>
    <w:rsid w:val="00674AE6"/>
    <w:rsid w:val="00675501"/>
    <w:rsid w:val="0067653B"/>
    <w:rsid w:val="00676CA2"/>
    <w:rsid w:val="00676D87"/>
    <w:rsid w:val="00677002"/>
    <w:rsid w:val="006804AA"/>
    <w:rsid w:val="00680BE0"/>
    <w:rsid w:val="006810C8"/>
    <w:rsid w:val="00681BC2"/>
    <w:rsid w:val="00682B13"/>
    <w:rsid w:val="00683945"/>
    <w:rsid w:val="00684363"/>
    <w:rsid w:val="00684A63"/>
    <w:rsid w:val="00685BA1"/>
    <w:rsid w:val="00686695"/>
    <w:rsid w:val="00686825"/>
    <w:rsid w:val="00686CAC"/>
    <w:rsid w:val="0069012C"/>
    <w:rsid w:val="00690A18"/>
    <w:rsid w:val="0069114D"/>
    <w:rsid w:val="00691804"/>
    <w:rsid w:val="00692120"/>
    <w:rsid w:val="00692743"/>
    <w:rsid w:val="00693043"/>
    <w:rsid w:val="00693F5F"/>
    <w:rsid w:val="00694E4F"/>
    <w:rsid w:val="006959AC"/>
    <w:rsid w:val="00695C53"/>
    <w:rsid w:val="0069619A"/>
    <w:rsid w:val="0069724C"/>
    <w:rsid w:val="006973CA"/>
    <w:rsid w:val="006976E4"/>
    <w:rsid w:val="006A00F6"/>
    <w:rsid w:val="006A18CA"/>
    <w:rsid w:val="006A484A"/>
    <w:rsid w:val="006A575B"/>
    <w:rsid w:val="006A6210"/>
    <w:rsid w:val="006A6237"/>
    <w:rsid w:val="006A65B9"/>
    <w:rsid w:val="006A6636"/>
    <w:rsid w:val="006A6893"/>
    <w:rsid w:val="006A6D81"/>
    <w:rsid w:val="006A71F1"/>
    <w:rsid w:val="006A7775"/>
    <w:rsid w:val="006B0D94"/>
    <w:rsid w:val="006B0EE6"/>
    <w:rsid w:val="006B14C1"/>
    <w:rsid w:val="006B1CF6"/>
    <w:rsid w:val="006B2232"/>
    <w:rsid w:val="006B293C"/>
    <w:rsid w:val="006B38FC"/>
    <w:rsid w:val="006B3A9D"/>
    <w:rsid w:val="006B4A2B"/>
    <w:rsid w:val="006B4AC1"/>
    <w:rsid w:val="006B59C9"/>
    <w:rsid w:val="006B6E61"/>
    <w:rsid w:val="006B6F39"/>
    <w:rsid w:val="006B7862"/>
    <w:rsid w:val="006C1A62"/>
    <w:rsid w:val="006C39E5"/>
    <w:rsid w:val="006C4655"/>
    <w:rsid w:val="006C6E13"/>
    <w:rsid w:val="006C73A2"/>
    <w:rsid w:val="006C7F41"/>
    <w:rsid w:val="006D0D4A"/>
    <w:rsid w:val="006D16BF"/>
    <w:rsid w:val="006D2318"/>
    <w:rsid w:val="006D23A8"/>
    <w:rsid w:val="006D43ED"/>
    <w:rsid w:val="006D442E"/>
    <w:rsid w:val="006D5570"/>
    <w:rsid w:val="006D57ED"/>
    <w:rsid w:val="006D5D76"/>
    <w:rsid w:val="006D66F7"/>
    <w:rsid w:val="006D78D3"/>
    <w:rsid w:val="006D78D8"/>
    <w:rsid w:val="006E05B5"/>
    <w:rsid w:val="006E1C76"/>
    <w:rsid w:val="006E2EE0"/>
    <w:rsid w:val="006E30AD"/>
    <w:rsid w:val="006E33AB"/>
    <w:rsid w:val="006E41A3"/>
    <w:rsid w:val="006E41F7"/>
    <w:rsid w:val="006E4E16"/>
    <w:rsid w:val="006E4FE9"/>
    <w:rsid w:val="006E70BF"/>
    <w:rsid w:val="006E7217"/>
    <w:rsid w:val="006E76DD"/>
    <w:rsid w:val="006E793D"/>
    <w:rsid w:val="006E7B0C"/>
    <w:rsid w:val="006F0090"/>
    <w:rsid w:val="006F0BAB"/>
    <w:rsid w:val="006F1F1C"/>
    <w:rsid w:val="006F1F8E"/>
    <w:rsid w:val="006F3272"/>
    <w:rsid w:val="006F500A"/>
    <w:rsid w:val="006F60D7"/>
    <w:rsid w:val="006F6B55"/>
    <w:rsid w:val="006F7721"/>
    <w:rsid w:val="006F7F9F"/>
    <w:rsid w:val="007002F3"/>
    <w:rsid w:val="0070226D"/>
    <w:rsid w:val="00702CD0"/>
    <w:rsid w:val="00703D3D"/>
    <w:rsid w:val="00704974"/>
    <w:rsid w:val="00704E75"/>
    <w:rsid w:val="00705449"/>
    <w:rsid w:val="007059B7"/>
    <w:rsid w:val="0070683F"/>
    <w:rsid w:val="00710CB5"/>
    <w:rsid w:val="00711275"/>
    <w:rsid w:val="0071201D"/>
    <w:rsid w:val="00712507"/>
    <w:rsid w:val="00712861"/>
    <w:rsid w:val="00712868"/>
    <w:rsid w:val="00713087"/>
    <w:rsid w:val="00714D06"/>
    <w:rsid w:val="00714D90"/>
    <w:rsid w:val="00716A5F"/>
    <w:rsid w:val="007171A0"/>
    <w:rsid w:val="007178F9"/>
    <w:rsid w:val="00717AE7"/>
    <w:rsid w:val="00720189"/>
    <w:rsid w:val="00721001"/>
    <w:rsid w:val="00721ACD"/>
    <w:rsid w:val="00722147"/>
    <w:rsid w:val="007223E3"/>
    <w:rsid w:val="00722459"/>
    <w:rsid w:val="007234A3"/>
    <w:rsid w:val="00723B1A"/>
    <w:rsid w:val="00723D19"/>
    <w:rsid w:val="00723E51"/>
    <w:rsid w:val="00725461"/>
    <w:rsid w:val="00725DB3"/>
    <w:rsid w:val="00726073"/>
    <w:rsid w:val="007264F5"/>
    <w:rsid w:val="007265C0"/>
    <w:rsid w:val="00726B30"/>
    <w:rsid w:val="0073038F"/>
    <w:rsid w:val="00731732"/>
    <w:rsid w:val="0073181F"/>
    <w:rsid w:val="00731A10"/>
    <w:rsid w:val="007335F0"/>
    <w:rsid w:val="00733CD9"/>
    <w:rsid w:val="007349AD"/>
    <w:rsid w:val="00734C49"/>
    <w:rsid w:val="007351CB"/>
    <w:rsid w:val="0073663E"/>
    <w:rsid w:val="00736CEC"/>
    <w:rsid w:val="007371E0"/>
    <w:rsid w:val="007375D6"/>
    <w:rsid w:val="00737EE0"/>
    <w:rsid w:val="00740EDF"/>
    <w:rsid w:val="00741406"/>
    <w:rsid w:val="00741F88"/>
    <w:rsid w:val="007441BD"/>
    <w:rsid w:val="007447D9"/>
    <w:rsid w:val="00744A11"/>
    <w:rsid w:val="00746044"/>
    <w:rsid w:val="00746842"/>
    <w:rsid w:val="00751DA8"/>
    <w:rsid w:val="00752529"/>
    <w:rsid w:val="007532BE"/>
    <w:rsid w:val="00753425"/>
    <w:rsid w:val="007551A5"/>
    <w:rsid w:val="0075554F"/>
    <w:rsid w:val="00755803"/>
    <w:rsid w:val="00755850"/>
    <w:rsid w:val="0075666E"/>
    <w:rsid w:val="0075673B"/>
    <w:rsid w:val="007574D6"/>
    <w:rsid w:val="00760282"/>
    <w:rsid w:val="007619D7"/>
    <w:rsid w:val="00761F63"/>
    <w:rsid w:val="00762B9A"/>
    <w:rsid w:val="00762E45"/>
    <w:rsid w:val="00763EC9"/>
    <w:rsid w:val="00764ACA"/>
    <w:rsid w:val="00764C1C"/>
    <w:rsid w:val="00765BCB"/>
    <w:rsid w:val="00767F1E"/>
    <w:rsid w:val="007701F4"/>
    <w:rsid w:val="00770761"/>
    <w:rsid w:val="00770887"/>
    <w:rsid w:val="00771C88"/>
    <w:rsid w:val="0077261F"/>
    <w:rsid w:val="0078027F"/>
    <w:rsid w:val="0078141E"/>
    <w:rsid w:val="00781648"/>
    <w:rsid w:val="00781B83"/>
    <w:rsid w:val="00781CDE"/>
    <w:rsid w:val="00781F12"/>
    <w:rsid w:val="007827E2"/>
    <w:rsid w:val="00782BD7"/>
    <w:rsid w:val="00782D15"/>
    <w:rsid w:val="00784525"/>
    <w:rsid w:val="00784C2F"/>
    <w:rsid w:val="00785777"/>
    <w:rsid w:val="00786176"/>
    <w:rsid w:val="00786403"/>
    <w:rsid w:val="00786EA8"/>
    <w:rsid w:val="00787D54"/>
    <w:rsid w:val="00791AD1"/>
    <w:rsid w:val="00791FA3"/>
    <w:rsid w:val="00792188"/>
    <w:rsid w:val="0079272F"/>
    <w:rsid w:val="00792886"/>
    <w:rsid w:val="00792E04"/>
    <w:rsid w:val="007934CB"/>
    <w:rsid w:val="00793C60"/>
    <w:rsid w:val="00796056"/>
    <w:rsid w:val="00796B3E"/>
    <w:rsid w:val="00796DDF"/>
    <w:rsid w:val="00797FC4"/>
    <w:rsid w:val="007A2F51"/>
    <w:rsid w:val="007A3051"/>
    <w:rsid w:val="007A3478"/>
    <w:rsid w:val="007A4D58"/>
    <w:rsid w:val="007A5692"/>
    <w:rsid w:val="007A56C5"/>
    <w:rsid w:val="007A6577"/>
    <w:rsid w:val="007A66A6"/>
    <w:rsid w:val="007A6907"/>
    <w:rsid w:val="007A6AFE"/>
    <w:rsid w:val="007A6B3E"/>
    <w:rsid w:val="007A7267"/>
    <w:rsid w:val="007A7B26"/>
    <w:rsid w:val="007A7BC7"/>
    <w:rsid w:val="007B018E"/>
    <w:rsid w:val="007B0884"/>
    <w:rsid w:val="007B0A91"/>
    <w:rsid w:val="007B151A"/>
    <w:rsid w:val="007B180C"/>
    <w:rsid w:val="007B1B4D"/>
    <w:rsid w:val="007B2CDD"/>
    <w:rsid w:val="007B2D9B"/>
    <w:rsid w:val="007B328C"/>
    <w:rsid w:val="007B3488"/>
    <w:rsid w:val="007B375F"/>
    <w:rsid w:val="007B3C42"/>
    <w:rsid w:val="007B42B4"/>
    <w:rsid w:val="007B4B09"/>
    <w:rsid w:val="007B4DAA"/>
    <w:rsid w:val="007B65F5"/>
    <w:rsid w:val="007B762F"/>
    <w:rsid w:val="007B7B39"/>
    <w:rsid w:val="007C0188"/>
    <w:rsid w:val="007C0248"/>
    <w:rsid w:val="007C0B1D"/>
    <w:rsid w:val="007C2EF5"/>
    <w:rsid w:val="007C4A56"/>
    <w:rsid w:val="007C4DB7"/>
    <w:rsid w:val="007C5A72"/>
    <w:rsid w:val="007D068B"/>
    <w:rsid w:val="007D0AA1"/>
    <w:rsid w:val="007D1E7C"/>
    <w:rsid w:val="007D290F"/>
    <w:rsid w:val="007D45B2"/>
    <w:rsid w:val="007D5A2A"/>
    <w:rsid w:val="007E0059"/>
    <w:rsid w:val="007E070B"/>
    <w:rsid w:val="007E2D73"/>
    <w:rsid w:val="007E3229"/>
    <w:rsid w:val="007E34B2"/>
    <w:rsid w:val="007E3F69"/>
    <w:rsid w:val="007E421B"/>
    <w:rsid w:val="007E4837"/>
    <w:rsid w:val="007E55A0"/>
    <w:rsid w:val="007E5E93"/>
    <w:rsid w:val="007F059B"/>
    <w:rsid w:val="007F19DA"/>
    <w:rsid w:val="007F368A"/>
    <w:rsid w:val="007F36B3"/>
    <w:rsid w:val="007F4251"/>
    <w:rsid w:val="007F63DA"/>
    <w:rsid w:val="007F7175"/>
    <w:rsid w:val="007F7E40"/>
    <w:rsid w:val="00800A1A"/>
    <w:rsid w:val="00800F20"/>
    <w:rsid w:val="00801B39"/>
    <w:rsid w:val="008021B7"/>
    <w:rsid w:val="008023B3"/>
    <w:rsid w:val="00802553"/>
    <w:rsid w:val="00802C20"/>
    <w:rsid w:val="0080432E"/>
    <w:rsid w:val="0080653A"/>
    <w:rsid w:val="008066DE"/>
    <w:rsid w:val="00810CFA"/>
    <w:rsid w:val="00811146"/>
    <w:rsid w:val="0081194F"/>
    <w:rsid w:val="008119D8"/>
    <w:rsid w:val="0081260A"/>
    <w:rsid w:val="008136F9"/>
    <w:rsid w:val="00813E1C"/>
    <w:rsid w:val="008143FD"/>
    <w:rsid w:val="00814A57"/>
    <w:rsid w:val="00815DA3"/>
    <w:rsid w:val="008161F8"/>
    <w:rsid w:val="008176D2"/>
    <w:rsid w:val="008206E3"/>
    <w:rsid w:val="00820799"/>
    <w:rsid w:val="00822B26"/>
    <w:rsid w:val="00823FBE"/>
    <w:rsid w:val="00824331"/>
    <w:rsid w:val="00824355"/>
    <w:rsid w:val="00824CED"/>
    <w:rsid w:val="0082577F"/>
    <w:rsid w:val="00825A7A"/>
    <w:rsid w:val="008263F3"/>
    <w:rsid w:val="0082667A"/>
    <w:rsid w:val="00831D26"/>
    <w:rsid w:val="00831DFE"/>
    <w:rsid w:val="00831F7E"/>
    <w:rsid w:val="0083350C"/>
    <w:rsid w:val="008337AB"/>
    <w:rsid w:val="008342E9"/>
    <w:rsid w:val="00834690"/>
    <w:rsid w:val="00834E33"/>
    <w:rsid w:val="00835399"/>
    <w:rsid w:val="0083550D"/>
    <w:rsid w:val="00835D8D"/>
    <w:rsid w:val="0083638C"/>
    <w:rsid w:val="00836B25"/>
    <w:rsid w:val="00837298"/>
    <w:rsid w:val="008412DB"/>
    <w:rsid w:val="00842515"/>
    <w:rsid w:val="00842C3F"/>
    <w:rsid w:val="00842CB1"/>
    <w:rsid w:val="00843245"/>
    <w:rsid w:val="008445BD"/>
    <w:rsid w:val="00845B87"/>
    <w:rsid w:val="0084630B"/>
    <w:rsid w:val="008463D5"/>
    <w:rsid w:val="00846518"/>
    <w:rsid w:val="00847EE1"/>
    <w:rsid w:val="00847FFA"/>
    <w:rsid w:val="008500AC"/>
    <w:rsid w:val="00850C4C"/>
    <w:rsid w:val="00851B68"/>
    <w:rsid w:val="008521D4"/>
    <w:rsid w:val="00852B3F"/>
    <w:rsid w:val="00853D5E"/>
    <w:rsid w:val="00854F66"/>
    <w:rsid w:val="00856997"/>
    <w:rsid w:val="00860464"/>
    <w:rsid w:val="00860595"/>
    <w:rsid w:val="00860A5A"/>
    <w:rsid w:val="00860B21"/>
    <w:rsid w:val="00860CA9"/>
    <w:rsid w:val="00861B6A"/>
    <w:rsid w:val="0086212E"/>
    <w:rsid w:val="0086320E"/>
    <w:rsid w:val="008633A1"/>
    <w:rsid w:val="00863E00"/>
    <w:rsid w:val="008640C4"/>
    <w:rsid w:val="0086437A"/>
    <w:rsid w:val="0086455E"/>
    <w:rsid w:val="0086669D"/>
    <w:rsid w:val="00866700"/>
    <w:rsid w:val="00867FA1"/>
    <w:rsid w:val="00870912"/>
    <w:rsid w:val="00871C4E"/>
    <w:rsid w:val="008724EA"/>
    <w:rsid w:val="00872A99"/>
    <w:rsid w:val="008733E5"/>
    <w:rsid w:val="00873619"/>
    <w:rsid w:val="00873880"/>
    <w:rsid w:val="00873AC9"/>
    <w:rsid w:val="00873B90"/>
    <w:rsid w:val="00876289"/>
    <w:rsid w:val="0087674B"/>
    <w:rsid w:val="008768A8"/>
    <w:rsid w:val="008768E3"/>
    <w:rsid w:val="008815E6"/>
    <w:rsid w:val="00881803"/>
    <w:rsid w:val="0088196D"/>
    <w:rsid w:val="00885771"/>
    <w:rsid w:val="00885BB6"/>
    <w:rsid w:val="00885FBE"/>
    <w:rsid w:val="00885FF7"/>
    <w:rsid w:val="00886302"/>
    <w:rsid w:val="008863E0"/>
    <w:rsid w:val="00887EA2"/>
    <w:rsid w:val="00890325"/>
    <w:rsid w:val="00890631"/>
    <w:rsid w:val="008906DF"/>
    <w:rsid w:val="00890F47"/>
    <w:rsid w:val="00891BE9"/>
    <w:rsid w:val="008925BC"/>
    <w:rsid w:val="008925F1"/>
    <w:rsid w:val="0089283B"/>
    <w:rsid w:val="00893797"/>
    <w:rsid w:val="00893CBA"/>
    <w:rsid w:val="00894114"/>
    <w:rsid w:val="008947D4"/>
    <w:rsid w:val="00895012"/>
    <w:rsid w:val="00896DB2"/>
    <w:rsid w:val="008A0A2D"/>
    <w:rsid w:val="008A0B3F"/>
    <w:rsid w:val="008A1196"/>
    <w:rsid w:val="008A245D"/>
    <w:rsid w:val="008A5A11"/>
    <w:rsid w:val="008A68CD"/>
    <w:rsid w:val="008A68D9"/>
    <w:rsid w:val="008A6D32"/>
    <w:rsid w:val="008A71D6"/>
    <w:rsid w:val="008A785C"/>
    <w:rsid w:val="008B04EC"/>
    <w:rsid w:val="008B0708"/>
    <w:rsid w:val="008B07EF"/>
    <w:rsid w:val="008B0A4D"/>
    <w:rsid w:val="008B2DFE"/>
    <w:rsid w:val="008B2E50"/>
    <w:rsid w:val="008B2F25"/>
    <w:rsid w:val="008B4381"/>
    <w:rsid w:val="008B45E7"/>
    <w:rsid w:val="008B46E8"/>
    <w:rsid w:val="008B4E84"/>
    <w:rsid w:val="008B5F22"/>
    <w:rsid w:val="008B7085"/>
    <w:rsid w:val="008B711D"/>
    <w:rsid w:val="008B7707"/>
    <w:rsid w:val="008B7B49"/>
    <w:rsid w:val="008C0D32"/>
    <w:rsid w:val="008C208C"/>
    <w:rsid w:val="008C2852"/>
    <w:rsid w:val="008C2F03"/>
    <w:rsid w:val="008C3898"/>
    <w:rsid w:val="008C4ED5"/>
    <w:rsid w:val="008C5657"/>
    <w:rsid w:val="008C5EB6"/>
    <w:rsid w:val="008C6411"/>
    <w:rsid w:val="008C6BC3"/>
    <w:rsid w:val="008C78B9"/>
    <w:rsid w:val="008C7987"/>
    <w:rsid w:val="008D3717"/>
    <w:rsid w:val="008D38A9"/>
    <w:rsid w:val="008D52D2"/>
    <w:rsid w:val="008D55CF"/>
    <w:rsid w:val="008D5E26"/>
    <w:rsid w:val="008D665E"/>
    <w:rsid w:val="008D6837"/>
    <w:rsid w:val="008D6A6B"/>
    <w:rsid w:val="008D6C62"/>
    <w:rsid w:val="008E01AF"/>
    <w:rsid w:val="008E31DB"/>
    <w:rsid w:val="008E533F"/>
    <w:rsid w:val="008E638E"/>
    <w:rsid w:val="008E7202"/>
    <w:rsid w:val="008F116F"/>
    <w:rsid w:val="008F1865"/>
    <w:rsid w:val="008F20EE"/>
    <w:rsid w:val="008F5A05"/>
    <w:rsid w:val="008F6414"/>
    <w:rsid w:val="008F6BDF"/>
    <w:rsid w:val="0090040B"/>
    <w:rsid w:val="009015C9"/>
    <w:rsid w:val="00901673"/>
    <w:rsid w:val="0090222C"/>
    <w:rsid w:val="00902776"/>
    <w:rsid w:val="00904C4C"/>
    <w:rsid w:val="0090581F"/>
    <w:rsid w:val="00905F05"/>
    <w:rsid w:val="00906104"/>
    <w:rsid w:val="00906674"/>
    <w:rsid w:val="00907888"/>
    <w:rsid w:val="00907896"/>
    <w:rsid w:val="0091008C"/>
    <w:rsid w:val="00913488"/>
    <w:rsid w:val="00913714"/>
    <w:rsid w:val="00913F6E"/>
    <w:rsid w:val="009142E2"/>
    <w:rsid w:val="00914772"/>
    <w:rsid w:val="00914A77"/>
    <w:rsid w:val="00914D12"/>
    <w:rsid w:val="0091504D"/>
    <w:rsid w:val="009151E3"/>
    <w:rsid w:val="009156E8"/>
    <w:rsid w:val="0091597A"/>
    <w:rsid w:val="00915B36"/>
    <w:rsid w:val="009162A1"/>
    <w:rsid w:val="0091640B"/>
    <w:rsid w:val="009165B6"/>
    <w:rsid w:val="00916FF1"/>
    <w:rsid w:val="00920C71"/>
    <w:rsid w:val="00921766"/>
    <w:rsid w:val="009218A8"/>
    <w:rsid w:val="00921A05"/>
    <w:rsid w:val="00922857"/>
    <w:rsid w:val="009242B5"/>
    <w:rsid w:val="00924956"/>
    <w:rsid w:val="00925B0D"/>
    <w:rsid w:val="00926E0D"/>
    <w:rsid w:val="00926E95"/>
    <w:rsid w:val="009277AB"/>
    <w:rsid w:val="00927E2F"/>
    <w:rsid w:val="0093043D"/>
    <w:rsid w:val="009308A7"/>
    <w:rsid w:val="00930CCD"/>
    <w:rsid w:val="00932A0D"/>
    <w:rsid w:val="00933820"/>
    <w:rsid w:val="00933A29"/>
    <w:rsid w:val="0093527E"/>
    <w:rsid w:val="00935422"/>
    <w:rsid w:val="00937485"/>
    <w:rsid w:val="009374B6"/>
    <w:rsid w:val="00937DF6"/>
    <w:rsid w:val="009403C8"/>
    <w:rsid w:val="00941068"/>
    <w:rsid w:val="00942B20"/>
    <w:rsid w:val="0094361F"/>
    <w:rsid w:val="00943DE9"/>
    <w:rsid w:val="0094432A"/>
    <w:rsid w:val="0094514B"/>
    <w:rsid w:val="0094579D"/>
    <w:rsid w:val="00946E20"/>
    <w:rsid w:val="0094789C"/>
    <w:rsid w:val="00950C0B"/>
    <w:rsid w:val="00951018"/>
    <w:rsid w:val="009510C0"/>
    <w:rsid w:val="00952F06"/>
    <w:rsid w:val="009532D2"/>
    <w:rsid w:val="009538FD"/>
    <w:rsid w:val="00953932"/>
    <w:rsid w:val="00953EB0"/>
    <w:rsid w:val="009558EA"/>
    <w:rsid w:val="00955A9B"/>
    <w:rsid w:val="00956137"/>
    <w:rsid w:val="0095642C"/>
    <w:rsid w:val="0095664B"/>
    <w:rsid w:val="00956C9F"/>
    <w:rsid w:val="00957FA7"/>
    <w:rsid w:val="00960022"/>
    <w:rsid w:val="00960596"/>
    <w:rsid w:val="00960E92"/>
    <w:rsid w:val="009611EB"/>
    <w:rsid w:val="009614B2"/>
    <w:rsid w:val="00963655"/>
    <w:rsid w:val="0096480D"/>
    <w:rsid w:val="00964D07"/>
    <w:rsid w:val="0096632A"/>
    <w:rsid w:val="009676BF"/>
    <w:rsid w:val="00967AA0"/>
    <w:rsid w:val="00967B00"/>
    <w:rsid w:val="0097105C"/>
    <w:rsid w:val="00971DBB"/>
    <w:rsid w:val="00973505"/>
    <w:rsid w:val="0097361F"/>
    <w:rsid w:val="00975B70"/>
    <w:rsid w:val="00975CC7"/>
    <w:rsid w:val="00975D7F"/>
    <w:rsid w:val="00976177"/>
    <w:rsid w:val="009769BA"/>
    <w:rsid w:val="009770B3"/>
    <w:rsid w:val="0097794F"/>
    <w:rsid w:val="009811AA"/>
    <w:rsid w:val="009817FD"/>
    <w:rsid w:val="00981F8B"/>
    <w:rsid w:val="00983247"/>
    <w:rsid w:val="0098420D"/>
    <w:rsid w:val="0098546D"/>
    <w:rsid w:val="00985F16"/>
    <w:rsid w:val="00986900"/>
    <w:rsid w:val="00986F18"/>
    <w:rsid w:val="00986F3A"/>
    <w:rsid w:val="0099010B"/>
    <w:rsid w:val="009928E6"/>
    <w:rsid w:val="009930CB"/>
    <w:rsid w:val="009938AA"/>
    <w:rsid w:val="00993A6C"/>
    <w:rsid w:val="00993F19"/>
    <w:rsid w:val="00993F1B"/>
    <w:rsid w:val="0099519E"/>
    <w:rsid w:val="00995236"/>
    <w:rsid w:val="0099603A"/>
    <w:rsid w:val="009972BE"/>
    <w:rsid w:val="00997F8E"/>
    <w:rsid w:val="009A0054"/>
    <w:rsid w:val="009A05FA"/>
    <w:rsid w:val="009A1372"/>
    <w:rsid w:val="009A14BE"/>
    <w:rsid w:val="009A171B"/>
    <w:rsid w:val="009A33AD"/>
    <w:rsid w:val="009A440E"/>
    <w:rsid w:val="009A470A"/>
    <w:rsid w:val="009A649A"/>
    <w:rsid w:val="009A6DB3"/>
    <w:rsid w:val="009A719F"/>
    <w:rsid w:val="009A781C"/>
    <w:rsid w:val="009A7A58"/>
    <w:rsid w:val="009A7BDD"/>
    <w:rsid w:val="009B0122"/>
    <w:rsid w:val="009B01F8"/>
    <w:rsid w:val="009B165A"/>
    <w:rsid w:val="009B2683"/>
    <w:rsid w:val="009B2B8F"/>
    <w:rsid w:val="009B2DAA"/>
    <w:rsid w:val="009B3FAC"/>
    <w:rsid w:val="009B44E9"/>
    <w:rsid w:val="009B465A"/>
    <w:rsid w:val="009B468B"/>
    <w:rsid w:val="009B5DA3"/>
    <w:rsid w:val="009B6851"/>
    <w:rsid w:val="009B6C97"/>
    <w:rsid w:val="009B6D18"/>
    <w:rsid w:val="009B7776"/>
    <w:rsid w:val="009C03D9"/>
    <w:rsid w:val="009C0786"/>
    <w:rsid w:val="009C3E81"/>
    <w:rsid w:val="009C4A91"/>
    <w:rsid w:val="009C4B9A"/>
    <w:rsid w:val="009C4C57"/>
    <w:rsid w:val="009C52E5"/>
    <w:rsid w:val="009C54AE"/>
    <w:rsid w:val="009C573B"/>
    <w:rsid w:val="009C578F"/>
    <w:rsid w:val="009C59A7"/>
    <w:rsid w:val="009C5FDE"/>
    <w:rsid w:val="009C688E"/>
    <w:rsid w:val="009C6B0B"/>
    <w:rsid w:val="009C7B5B"/>
    <w:rsid w:val="009C7BBA"/>
    <w:rsid w:val="009D0BEC"/>
    <w:rsid w:val="009D1367"/>
    <w:rsid w:val="009D2EF8"/>
    <w:rsid w:val="009D30AF"/>
    <w:rsid w:val="009D46DB"/>
    <w:rsid w:val="009D5AF0"/>
    <w:rsid w:val="009E20E8"/>
    <w:rsid w:val="009E21F5"/>
    <w:rsid w:val="009E28E4"/>
    <w:rsid w:val="009E29DD"/>
    <w:rsid w:val="009E329B"/>
    <w:rsid w:val="009E49C0"/>
    <w:rsid w:val="009E4ED6"/>
    <w:rsid w:val="009E56D6"/>
    <w:rsid w:val="009E612F"/>
    <w:rsid w:val="009E67B5"/>
    <w:rsid w:val="009E7067"/>
    <w:rsid w:val="009E776E"/>
    <w:rsid w:val="009E7D4F"/>
    <w:rsid w:val="009F02C8"/>
    <w:rsid w:val="009F0E23"/>
    <w:rsid w:val="009F35A2"/>
    <w:rsid w:val="009F35E9"/>
    <w:rsid w:val="009F3ACD"/>
    <w:rsid w:val="009F56E6"/>
    <w:rsid w:val="009F7D91"/>
    <w:rsid w:val="009F7ED4"/>
    <w:rsid w:val="00A0114C"/>
    <w:rsid w:val="00A02B94"/>
    <w:rsid w:val="00A03858"/>
    <w:rsid w:val="00A0390B"/>
    <w:rsid w:val="00A03E9F"/>
    <w:rsid w:val="00A05CAD"/>
    <w:rsid w:val="00A063B0"/>
    <w:rsid w:val="00A06C2A"/>
    <w:rsid w:val="00A076CE"/>
    <w:rsid w:val="00A1142E"/>
    <w:rsid w:val="00A12D5C"/>
    <w:rsid w:val="00A12D75"/>
    <w:rsid w:val="00A1772E"/>
    <w:rsid w:val="00A20773"/>
    <w:rsid w:val="00A20BB2"/>
    <w:rsid w:val="00A21524"/>
    <w:rsid w:val="00A2330E"/>
    <w:rsid w:val="00A23DF3"/>
    <w:rsid w:val="00A24986"/>
    <w:rsid w:val="00A25105"/>
    <w:rsid w:val="00A272AB"/>
    <w:rsid w:val="00A2781C"/>
    <w:rsid w:val="00A27C19"/>
    <w:rsid w:val="00A3139D"/>
    <w:rsid w:val="00A32B9B"/>
    <w:rsid w:val="00A3343F"/>
    <w:rsid w:val="00A33B29"/>
    <w:rsid w:val="00A34188"/>
    <w:rsid w:val="00A3483D"/>
    <w:rsid w:val="00A35671"/>
    <w:rsid w:val="00A36257"/>
    <w:rsid w:val="00A362F8"/>
    <w:rsid w:val="00A3701E"/>
    <w:rsid w:val="00A37604"/>
    <w:rsid w:val="00A40804"/>
    <w:rsid w:val="00A40B14"/>
    <w:rsid w:val="00A4132B"/>
    <w:rsid w:val="00A4133C"/>
    <w:rsid w:val="00A41A2B"/>
    <w:rsid w:val="00A41D86"/>
    <w:rsid w:val="00A421F3"/>
    <w:rsid w:val="00A42819"/>
    <w:rsid w:val="00A43BFD"/>
    <w:rsid w:val="00A43E67"/>
    <w:rsid w:val="00A446DA"/>
    <w:rsid w:val="00A44F07"/>
    <w:rsid w:val="00A45510"/>
    <w:rsid w:val="00A47205"/>
    <w:rsid w:val="00A47A44"/>
    <w:rsid w:val="00A47B12"/>
    <w:rsid w:val="00A47FD4"/>
    <w:rsid w:val="00A50C5E"/>
    <w:rsid w:val="00A516E7"/>
    <w:rsid w:val="00A522BA"/>
    <w:rsid w:val="00A52F3A"/>
    <w:rsid w:val="00A535AA"/>
    <w:rsid w:val="00A53BAD"/>
    <w:rsid w:val="00A53C6E"/>
    <w:rsid w:val="00A549AD"/>
    <w:rsid w:val="00A54D85"/>
    <w:rsid w:val="00A55F92"/>
    <w:rsid w:val="00A56068"/>
    <w:rsid w:val="00A57CF5"/>
    <w:rsid w:val="00A600F3"/>
    <w:rsid w:val="00A60754"/>
    <w:rsid w:val="00A61678"/>
    <w:rsid w:val="00A62F59"/>
    <w:rsid w:val="00A632DF"/>
    <w:rsid w:val="00A656E3"/>
    <w:rsid w:val="00A65E34"/>
    <w:rsid w:val="00A663FE"/>
    <w:rsid w:val="00A710D8"/>
    <w:rsid w:val="00A7128C"/>
    <w:rsid w:val="00A71ADD"/>
    <w:rsid w:val="00A73719"/>
    <w:rsid w:val="00A73DB3"/>
    <w:rsid w:val="00A75391"/>
    <w:rsid w:val="00A75535"/>
    <w:rsid w:val="00A768DC"/>
    <w:rsid w:val="00A76D7A"/>
    <w:rsid w:val="00A779D8"/>
    <w:rsid w:val="00A77D4C"/>
    <w:rsid w:val="00A809E1"/>
    <w:rsid w:val="00A80A24"/>
    <w:rsid w:val="00A8164E"/>
    <w:rsid w:val="00A819E9"/>
    <w:rsid w:val="00A8463A"/>
    <w:rsid w:val="00A849C6"/>
    <w:rsid w:val="00A85748"/>
    <w:rsid w:val="00A85C39"/>
    <w:rsid w:val="00A85DC9"/>
    <w:rsid w:val="00A85EDD"/>
    <w:rsid w:val="00A86459"/>
    <w:rsid w:val="00A92796"/>
    <w:rsid w:val="00A928BA"/>
    <w:rsid w:val="00A92AD1"/>
    <w:rsid w:val="00A92EB7"/>
    <w:rsid w:val="00A932A3"/>
    <w:rsid w:val="00A941FB"/>
    <w:rsid w:val="00A973C0"/>
    <w:rsid w:val="00AA003E"/>
    <w:rsid w:val="00AA0B7C"/>
    <w:rsid w:val="00AA0D15"/>
    <w:rsid w:val="00AA1F6F"/>
    <w:rsid w:val="00AA372D"/>
    <w:rsid w:val="00AA3B06"/>
    <w:rsid w:val="00AA3D77"/>
    <w:rsid w:val="00AA4811"/>
    <w:rsid w:val="00AA4854"/>
    <w:rsid w:val="00AA4A69"/>
    <w:rsid w:val="00AA4FA3"/>
    <w:rsid w:val="00AA519D"/>
    <w:rsid w:val="00AA57DD"/>
    <w:rsid w:val="00AA64C8"/>
    <w:rsid w:val="00AA6999"/>
    <w:rsid w:val="00AB2458"/>
    <w:rsid w:val="00AB295A"/>
    <w:rsid w:val="00AB36B1"/>
    <w:rsid w:val="00AB4B93"/>
    <w:rsid w:val="00AB5EA6"/>
    <w:rsid w:val="00AB6086"/>
    <w:rsid w:val="00AB620C"/>
    <w:rsid w:val="00AB6F6E"/>
    <w:rsid w:val="00AB6FAE"/>
    <w:rsid w:val="00AB711B"/>
    <w:rsid w:val="00AC061B"/>
    <w:rsid w:val="00AC07C7"/>
    <w:rsid w:val="00AC094A"/>
    <w:rsid w:val="00AC0D61"/>
    <w:rsid w:val="00AC16EE"/>
    <w:rsid w:val="00AC1FC4"/>
    <w:rsid w:val="00AC2310"/>
    <w:rsid w:val="00AC39CE"/>
    <w:rsid w:val="00AC45B8"/>
    <w:rsid w:val="00AC4631"/>
    <w:rsid w:val="00AC4B71"/>
    <w:rsid w:val="00AC4DE1"/>
    <w:rsid w:val="00AC564D"/>
    <w:rsid w:val="00AC6349"/>
    <w:rsid w:val="00AC6ECD"/>
    <w:rsid w:val="00AC788A"/>
    <w:rsid w:val="00AC7F29"/>
    <w:rsid w:val="00AD068A"/>
    <w:rsid w:val="00AD085F"/>
    <w:rsid w:val="00AD0CE0"/>
    <w:rsid w:val="00AD1459"/>
    <w:rsid w:val="00AD2037"/>
    <w:rsid w:val="00AD2D0E"/>
    <w:rsid w:val="00AD3A4C"/>
    <w:rsid w:val="00AD3C3E"/>
    <w:rsid w:val="00AD472A"/>
    <w:rsid w:val="00AD4829"/>
    <w:rsid w:val="00AD63AD"/>
    <w:rsid w:val="00AD63C9"/>
    <w:rsid w:val="00AD7518"/>
    <w:rsid w:val="00AE0ACD"/>
    <w:rsid w:val="00AE0AD7"/>
    <w:rsid w:val="00AE18B9"/>
    <w:rsid w:val="00AE3260"/>
    <w:rsid w:val="00AE4736"/>
    <w:rsid w:val="00AE4E1B"/>
    <w:rsid w:val="00AE7C7D"/>
    <w:rsid w:val="00AE7F08"/>
    <w:rsid w:val="00AF0A5C"/>
    <w:rsid w:val="00AF1F4E"/>
    <w:rsid w:val="00AF279B"/>
    <w:rsid w:val="00AF414F"/>
    <w:rsid w:val="00AF43AA"/>
    <w:rsid w:val="00AF453B"/>
    <w:rsid w:val="00AF5C4C"/>
    <w:rsid w:val="00AF62C3"/>
    <w:rsid w:val="00AF7396"/>
    <w:rsid w:val="00AF78E0"/>
    <w:rsid w:val="00B00403"/>
    <w:rsid w:val="00B01550"/>
    <w:rsid w:val="00B02280"/>
    <w:rsid w:val="00B028BB"/>
    <w:rsid w:val="00B03055"/>
    <w:rsid w:val="00B03B5F"/>
    <w:rsid w:val="00B0517D"/>
    <w:rsid w:val="00B060AC"/>
    <w:rsid w:val="00B065C5"/>
    <w:rsid w:val="00B06BA9"/>
    <w:rsid w:val="00B070A8"/>
    <w:rsid w:val="00B077A1"/>
    <w:rsid w:val="00B1028B"/>
    <w:rsid w:val="00B108F0"/>
    <w:rsid w:val="00B11420"/>
    <w:rsid w:val="00B1193B"/>
    <w:rsid w:val="00B1240E"/>
    <w:rsid w:val="00B12DC2"/>
    <w:rsid w:val="00B1465F"/>
    <w:rsid w:val="00B160CB"/>
    <w:rsid w:val="00B162B1"/>
    <w:rsid w:val="00B17660"/>
    <w:rsid w:val="00B17C89"/>
    <w:rsid w:val="00B20535"/>
    <w:rsid w:val="00B2087B"/>
    <w:rsid w:val="00B21B45"/>
    <w:rsid w:val="00B225C0"/>
    <w:rsid w:val="00B22A47"/>
    <w:rsid w:val="00B234BC"/>
    <w:rsid w:val="00B23561"/>
    <w:rsid w:val="00B238AD"/>
    <w:rsid w:val="00B23CC4"/>
    <w:rsid w:val="00B23E51"/>
    <w:rsid w:val="00B24988"/>
    <w:rsid w:val="00B266F1"/>
    <w:rsid w:val="00B26E34"/>
    <w:rsid w:val="00B31A87"/>
    <w:rsid w:val="00B32CC5"/>
    <w:rsid w:val="00B360D6"/>
    <w:rsid w:val="00B36844"/>
    <w:rsid w:val="00B372D5"/>
    <w:rsid w:val="00B37509"/>
    <w:rsid w:val="00B37C2E"/>
    <w:rsid w:val="00B37E1B"/>
    <w:rsid w:val="00B40C76"/>
    <w:rsid w:val="00B40D75"/>
    <w:rsid w:val="00B4248E"/>
    <w:rsid w:val="00B4310E"/>
    <w:rsid w:val="00B442EA"/>
    <w:rsid w:val="00B444FB"/>
    <w:rsid w:val="00B448DE"/>
    <w:rsid w:val="00B44AF6"/>
    <w:rsid w:val="00B45A35"/>
    <w:rsid w:val="00B4681F"/>
    <w:rsid w:val="00B51344"/>
    <w:rsid w:val="00B51C0B"/>
    <w:rsid w:val="00B53B7D"/>
    <w:rsid w:val="00B54288"/>
    <w:rsid w:val="00B54495"/>
    <w:rsid w:val="00B55E8C"/>
    <w:rsid w:val="00B56CD0"/>
    <w:rsid w:val="00B57294"/>
    <w:rsid w:val="00B5739A"/>
    <w:rsid w:val="00B575B2"/>
    <w:rsid w:val="00B615F5"/>
    <w:rsid w:val="00B63828"/>
    <w:rsid w:val="00B63F0D"/>
    <w:rsid w:val="00B64384"/>
    <w:rsid w:val="00B65114"/>
    <w:rsid w:val="00B657E7"/>
    <w:rsid w:val="00B6597A"/>
    <w:rsid w:val="00B6674B"/>
    <w:rsid w:val="00B67D3C"/>
    <w:rsid w:val="00B71697"/>
    <w:rsid w:val="00B719B1"/>
    <w:rsid w:val="00B720BF"/>
    <w:rsid w:val="00B731BD"/>
    <w:rsid w:val="00B73296"/>
    <w:rsid w:val="00B74435"/>
    <w:rsid w:val="00B746E6"/>
    <w:rsid w:val="00B74D86"/>
    <w:rsid w:val="00B751FC"/>
    <w:rsid w:val="00B77F12"/>
    <w:rsid w:val="00B805EF"/>
    <w:rsid w:val="00B81573"/>
    <w:rsid w:val="00B81E31"/>
    <w:rsid w:val="00B8387E"/>
    <w:rsid w:val="00B84C30"/>
    <w:rsid w:val="00B8559A"/>
    <w:rsid w:val="00B867AE"/>
    <w:rsid w:val="00B8740E"/>
    <w:rsid w:val="00B8780F"/>
    <w:rsid w:val="00B87DAB"/>
    <w:rsid w:val="00B9002F"/>
    <w:rsid w:val="00B90E1D"/>
    <w:rsid w:val="00B91F6A"/>
    <w:rsid w:val="00B926A4"/>
    <w:rsid w:val="00B92897"/>
    <w:rsid w:val="00B942B5"/>
    <w:rsid w:val="00B94DFF"/>
    <w:rsid w:val="00B95BD0"/>
    <w:rsid w:val="00B979C6"/>
    <w:rsid w:val="00BA0579"/>
    <w:rsid w:val="00BA0E80"/>
    <w:rsid w:val="00BA15EA"/>
    <w:rsid w:val="00BA37CA"/>
    <w:rsid w:val="00BA551B"/>
    <w:rsid w:val="00BA5BE0"/>
    <w:rsid w:val="00BA6988"/>
    <w:rsid w:val="00BB0D58"/>
    <w:rsid w:val="00BB2627"/>
    <w:rsid w:val="00BB2BF0"/>
    <w:rsid w:val="00BB4677"/>
    <w:rsid w:val="00BB5629"/>
    <w:rsid w:val="00BB5C82"/>
    <w:rsid w:val="00BB6FBE"/>
    <w:rsid w:val="00BB7225"/>
    <w:rsid w:val="00BC017F"/>
    <w:rsid w:val="00BC1570"/>
    <w:rsid w:val="00BC18AC"/>
    <w:rsid w:val="00BC1BBD"/>
    <w:rsid w:val="00BC1D5B"/>
    <w:rsid w:val="00BC2014"/>
    <w:rsid w:val="00BC33AE"/>
    <w:rsid w:val="00BC36C5"/>
    <w:rsid w:val="00BC372F"/>
    <w:rsid w:val="00BC3E37"/>
    <w:rsid w:val="00BC4321"/>
    <w:rsid w:val="00BC6B58"/>
    <w:rsid w:val="00BD3954"/>
    <w:rsid w:val="00BD4070"/>
    <w:rsid w:val="00BD446E"/>
    <w:rsid w:val="00BD52DD"/>
    <w:rsid w:val="00BD5772"/>
    <w:rsid w:val="00BD6478"/>
    <w:rsid w:val="00BD7047"/>
    <w:rsid w:val="00BD78E3"/>
    <w:rsid w:val="00BE0C95"/>
    <w:rsid w:val="00BE12D7"/>
    <w:rsid w:val="00BE3133"/>
    <w:rsid w:val="00BE496F"/>
    <w:rsid w:val="00BE57F2"/>
    <w:rsid w:val="00BE6421"/>
    <w:rsid w:val="00BE759D"/>
    <w:rsid w:val="00BE760D"/>
    <w:rsid w:val="00BF10F8"/>
    <w:rsid w:val="00BF19C5"/>
    <w:rsid w:val="00BF4CCA"/>
    <w:rsid w:val="00BF4D68"/>
    <w:rsid w:val="00BF50D1"/>
    <w:rsid w:val="00BF589F"/>
    <w:rsid w:val="00BF6717"/>
    <w:rsid w:val="00BF7292"/>
    <w:rsid w:val="00BF7853"/>
    <w:rsid w:val="00BF79CB"/>
    <w:rsid w:val="00BF7B30"/>
    <w:rsid w:val="00C00B87"/>
    <w:rsid w:val="00C0156F"/>
    <w:rsid w:val="00C037A8"/>
    <w:rsid w:val="00C039DB"/>
    <w:rsid w:val="00C03BFE"/>
    <w:rsid w:val="00C04506"/>
    <w:rsid w:val="00C05137"/>
    <w:rsid w:val="00C0527B"/>
    <w:rsid w:val="00C06C17"/>
    <w:rsid w:val="00C0764C"/>
    <w:rsid w:val="00C10197"/>
    <w:rsid w:val="00C10213"/>
    <w:rsid w:val="00C104BB"/>
    <w:rsid w:val="00C11895"/>
    <w:rsid w:val="00C11FB0"/>
    <w:rsid w:val="00C12653"/>
    <w:rsid w:val="00C12BF7"/>
    <w:rsid w:val="00C1367B"/>
    <w:rsid w:val="00C13901"/>
    <w:rsid w:val="00C14F65"/>
    <w:rsid w:val="00C15A25"/>
    <w:rsid w:val="00C15BF7"/>
    <w:rsid w:val="00C168C4"/>
    <w:rsid w:val="00C16E25"/>
    <w:rsid w:val="00C176EB"/>
    <w:rsid w:val="00C2065D"/>
    <w:rsid w:val="00C2201D"/>
    <w:rsid w:val="00C226D3"/>
    <w:rsid w:val="00C246B1"/>
    <w:rsid w:val="00C259E6"/>
    <w:rsid w:val="00C26791"/>
    <w:rsid w:val="00C27D92"/>
    <w:rsid w:val="00C308E5"/>
    <w:rsid w:val="00C30970"/>
    <w:rsid w:val="00C309B5"/>
    <w:rsid w:val="00C30B25"/>
    <w:rsid w:val="00C31196"/>
    <w:rsid w:val="00C31744"/>
    <w:rsid w:val="00C324ED"/>
    <w:rsid w:val="00C36008"/>
    <w:rsid w:val="00C36118"/>
    <w:rsid w:val="00C36447"/>
    <w:rsid w:val="00C3776A"/>
    <w:rsid w:val="00C37777"/>
    <w:rsid w:val="00C41B98"/>
    <w:rsid w:val="00C42AB4"/>
    <w:rsid w:val="00C43788"/>
    <w:rsid w:val="00C44FD3"/>
    <w:rsid w:val="00C46108"/>
    <w:rsid w:val="00C46667"/>
    <w:rsid w:val="00C46684"/>
    <w:rsid w:val="00C46AF7"/>
    <w:rsid w:val="00C46C35"/>
    <w:rsid w:val="00C47336"/>
    <w:rsid w:val="00C479D3"/>
    <w:rsid w:val="00C47B61"/>
    <w:rsid w:val="00C501BA"/>
    <w:rsid w:val="00C5026E"/>
    <w:rsid w:val="00C505FF"/>
    <w:rsid w:val="00C533B7"/>
    <w:rsid w:val="00C53B79"/>
    <w:rsid w:val="00C53C90"/>
    <w:rsid w:val="00C544CC"/>
    <w:rsid w:val="00C54918"/>
    <w:rsid w:val="00C54A24"/>
    <w:rsid w:val="00C55ACE"/>
    <w:rsid w:val="00C56E04"/>
    <w:rsid w:val="00C57AA5"/>
    <w:rsid w:val="00C57BAD"/>
    <w:rsid w:val="00C57ED3"/>
    <w:rsid w:val="00C6082E"/>
    <w:rsid w:val="00C60B26"/>
    <w:rsid w:val="00C61391"/>
    <w:rsid w:val="00C621E8"/>
    <w:rsid w:val="00C62B0A"/>
    <w:rsid w:val="00C62DA1"/>
    <w:rsid w:val="00C642EA"/>
    <w:rsid w:val="00C648E2"/>
    <w:rsid w:val="00C6509A"/>
    <w:rsid w:val="00C65230"/>
    <w:rsid w:val="00C6553E"/>
    <w:rsid w:val="00C656CA"/>
    <w:rsid w:val="00C663E0"/>
    <w:rsid w:val="00C6724C"/>
    <w:rsid w:val="00C6774D"/>
    <w:rsid w:val="00C7006E"/>
    <w:rsid w:val="00C70B03"/>
    <w:rsid w:val="00C72D00"/>
    <w:rsid w:val="00C72EDD"/>
    <w:rsid w:val="00C740D5"/>
    <w:rsid w:val="00C746D2"/>
    <w:rsid w:val="00C7483A"/>
    <w:rsid w:val="00C752F6"/>
    <w:rsid w:val="00C75325"/>
    <w:rsid w:val="00C755D5"/>
    <w:rsid w:val="00C75D29"/>
    <w:rsid w:val="00C75F7D"/>
    <w:rsid w:val="00C764AA"/>
    <w:rsid w:val="00C769EB"/>
    <w:rsid w:val="00C76AF0"/>
    <w:rsid w:val="00C77D72"/>
    <w:rsid w:val="00C8079E"/>
    <w:rsid w:val="00C81C13"/>
    <w:rsid w:val="00C82553"/>
    <w:rsid w:val="00C83C38"/>
    <w:rsid w:val="00C83D33"/>
    <w:rsid w:val="00C84525"/>
    <w:rsid w:val="00C85F1A"/>
    <w:rsid w:val="00C86A59"/>
    <w:rsid w:val="00C87465"/>
    <w:rsid w:val="00C87AAA"/>
    <w:rsid w:val="00C906E3"/>
    <w:rsid w:val="00C90AF4"/>
    <w:rsid w:val="00C918EE"/>
    <w:rsid w:val="00C92DF4"/>
    <w:rsid w:val="00C93357"/>
    <w:rsid w:val="00C93FA8"/>
    <w:rsid w:val="00C95086"/>
    <w:rsid w:val="00C97423"/>
    <w:rsid w:val="00C97824"/>
    <w:rsid w:val="00CA205C"/>
    <w:rsid w:val="00CA2222"/>
    <w:rsid w:val="00CA28DD"/>
    <w:rsid w:val="00CA3156"/>
    <w:rsid w:val="00CA383C"/>
    <w:rsid w:val="00CA3AC3"/>
    <w:rsid w:val="00CA5D4A"/>
    <w:rsid w:val="00CA65DF"/>
    <w:rsid w:val="00CA676E"/>
    <w:rsid w:val="00CA6E79"/>
    <w:rsid w:val="00CA7596"/>
    <w:rsid w:val="00CB0D22"/>
    <w:rsid w:val="00CB12D2"/>
    <w:rsid w:val="00CB1740"/>
    <w:rsid w:val="00CB1814"/>
    <w:rsid w:val="00CB1B4F"/>
    <w:rsid w:val="00CB2CE3"/>
    <w:rsid w:val="00CB32F7"/>
    <w:rsid w:val="00CB52DB"/>
    <w:rsid w:val="00CB66E9"/>
    <w:rsid w:val="00CC08CC"/>
    <w:rsid w:val="00CC0A71"/>
    <w:rsid w:val="00CC1F30"/>
    <w:rsid w:val="00CC2B1F"/>
    <w:rsid w:val="00CC3C83"/>
    <w:rsid w:val="00CC48B4"/>
    <w:rsid w:val="00CC4A56"/>
    <w:rsid w:val="00CC778E"/>
    <w:rsid w:val="00CD0026"/>
    <w:rsid w:val="00CD0100"/>
    <w:rsid w:val="00CD0555"/>
    <w:rsid w:val="00CD1FF1"/>
    <w:rsid w:val="00CD32B1"/>
    <w:rsid w:val="00CD3934"/>
    <w:rsid w:val="00CD416F"/>
    <w:rsid w:val="00CD4254"/>
    <w:rsid w:val="00CD474E"/>
    <w:rsid w:val="00CD5862"/>
    <w:rsid w:val="00CE0C6C"/>
    <w:rsid w:val="00CE1878"/>
    <w:rsid w:val="00CE1CD4"/>
    <w:rsid w:val="00CE4BC9"/>
    <w:rsid w:val="00CE5189"/>
    <w:rsid w:val="00CE5972"/>
    <w:rsid w:val="00CE5A84"/>
    <w:rsid w:val="00CE7588"/>
    <w:rsid w:val="00CF1E46"/>
    <w:rsid w:val="00CF22F3"/>
    <w:rsid w:val="00CF2391"/>
    <w:rsid w:val="00CF2433"/>
    <w:rsid w:val="00CF2518"/>
    <w:rsid w:val="00CF3106"/>
    <w:rsid w:val="00CF4C88"/>
    <w:rsid w:val="00CF4D41"/>
    <w:rsid w:val="00CF50A8"/>
    <w:rsid w:val="00CF5CAC"/>
    <w:rsid w:val="00CF6246"/>
    <w:rsid w:val="00CF78B5"/>
    <w:rsid w:val="00D01916"/>
    <w:rsid w:val="00D01940"/>
    <w:rsid w:val="00D04D1F"/>
    <w:rsid w:val="00D05760"/>
    <w:rsid w:val="00D058D2"/>
    <w:rsid w:val="00D05B19"/>
    <w:rsid w:val="00D060CE"/>
    <w:rsid w:val="00D0642B"/>
    <w:rsid w:val="00D07EEF"/>
    <w:rsid w:val="00D10EE6"/>
    <w:rsid w:val="00D1187B"/>
    <w:rsid w:val="00D11A79"/>
    <w:rsid w:val="00D12279"/>
    <w:rsid w:val="00D12851"/>
    <w:rsid w:val="00D13380"/>
    <w:rsid w:val="00D13A9E"/>
    <w:rsid w:val="00D14DD4"/>
    <w:rsid w:val="00D14F33"/>
    <w:rsid w:val="00D158BA"/>
    <w:rsid w:val="00D159C3"/>
    <w:rsid w:val="00D17486"/>
    <w:rsid w:val="00D1761B"/>
    <w:rsid w:val="00D1768C"/>
    <w:rsid w:val="00D20036"/>
    <w:rsid w:val="00D21113"/>
    <w:rsid w:val="00D21320"/>
    <w:rsid w:val="00D2212E"/>
    <w:rsid w:val="00D2219C"/>
    <w:rsid w:val="00D23081"/>
    <w:rsid w:val="00D23E22"/>
    <w:rsid w:val="00D241B4"/>
    <w:rsid w:val="00D257B4"/>
    <w:rsid w:val="00D25BFD"/>
    <w:rsid w:val="00D2670D"/>
    <w:rsid w:val="00D27106"/>
    <w:rsid w:val="00D27293"/>
    <w:rsid w:val="00D309AE"/>
    <w:rsid w:val="00D3630C"/>
    <w:rsid w:val="00D369F3"/>
    <w:rsid w:val="00D37A6C"/>
    <w:rsid w:val="00D400A6"/>
    <w:rsid w:val="00D40A2E"/>
    <w:rsid w:val="00D4142D"/>
    <w:rsid w:val="00D42337"/>
    <w:rsid w:val="00D4252B"/>
    <w:rsid w:val="00D43359"/>
    <w:rsid w:val="00D4335B"/>
    <w:rsid w:val="00D43478"/>
    <w:rsid w:val="00D43996"/>
    <w:rsid w:val="00D46068"/>
    <w:rsid w:val="00D46243"/>
    <w:rsid w:val="00D470FC"/>
    <w:rsid w:val="00D47353"/>
    <w:rsid w:val="00D4797B"/>
    <w:rsid w:val="00D51C8A"/>
    <w:rsid w:val="00D5209B"/>
    <w:rsid w:val="00D52B0A"/>
    <w:rsid w:val="00D52C2C"/>
    <w:rsid w:val="00D52CF4"/>
    <w:rsid w:val="00D533B6"/>
    <w:rsid w:val="00D53643"/>
    <w:rsid w:val="00D539F3"/>
    <w:rsid w:val="00D53B30"/>
    <w:rsid w:val="00D54562"/>
    <w:rsid w:val="00D555E3"/>
    <w:rsid w:val="00D55B43"/>
    <w:rsid w:val="00D56342"/>
    <w:rsid w:val="00D5750B"/>
    <w:rsid w:val="00D60932"/>
    <w:rsid w:val="00D60CE8"/>
    <w:rsid w:val="00D61FE0"/>
    <w:rsid w:val="00D62A4D"/>
    <w:rsid w:val="00D635DE"/>
    <w:rsid w:val="00D6407A"/>
    <w:rsid w:val="00D64A09"/>
    <w:rsid w:val="00D64E36"/>
    <w:rsid w:val="00D65B27"/>
    <w:rsid w:val="00D65D25"/>
    <w:rsid w:val="00D666F7"/>
    <w:rsid w:val="00D6750F"/>
    <w:rsid w:val="00D67874"/>
    <w:rsid w:val="00D71561"/>
    <w:rsid w:val="00D72923"/>
    <w:rsid w:val="00D7362F"/>
    <w:rsid w:val="00D74346"/>
    <w:rsid w:val="00D74EA1"/>
    <w:rsid w:val="00D75F45"/>
    <w:rsid w:val="00D8100E"/>
    <w:rsid w:val="00D81E39"/>
    <w:rsid w:val="00D827CE"/>
    <w:rsid w:val="00D8478D"/>
    <w:rsid w:val="00D84E68"/>
    <w:rsid w:val="00D858FB"/>
    <w:rsid w:val="00D86C87"/>
    <w:rsid w:val="00D87677"/>
    <w:rsid w:val="00D905D2"/>
    <w:rsid w:val="00D9062C"/>
    <w:rsid w:val="00D91277"/>
    <w:rsid w:val="00D91EDC"/>
    <w:rsid w:val="00D91FD9"/>
    <w:rsid w:val="00D92341"/>
    <w:rsid w:val="00D929ED"/>
    <w:rsid w:val="00D92B02"/>
    <w:rsid w:val="00D9311A"/>
    <w:rsid w:val="00D93DC2"/>
    <w:rsid w:val="00D940B7"/>
    <w:rsid w:val="00D946D2"/>
    <w:rsid w:val="00D948EF"/>
    <w:rsid w:val="00D94FBE"/>
    <w:rsid w:val="00D95998"/>
    <w:rsid w:val="00D979A0"/>
    <w:rsid w:val="00D97D7C"/>
    <w:rsid w:val="00D97E86"/>
    <w:rsid w:val="00DA0068"/>
    <w:rsid w:val="00DA0CE2"/>
    <w:rsid w:val="00DA1653"/>
    <w:rsid w:val="00DA1DC0"/>
    <w:rsid w:val="00DA28D1"/>
    <w:rsid w:val="00DA39F3"/>
    <w:rsid w:val="00DA4040"/>
    <w:rsid w:val="00DA4684"/>
    <w:rsid w:val="00DA5E73"/>
    <w:rsid w:val="00DA6F07"/>
    <w:rsid w:val="00DA78BD"/>
    <w:rsid w:val="00DB03B0"/>
    <w:rsid w:val="00DB0B92"/>
    <w:rsid w:val="00DB1719"/>
    <w:rsid w:val="00DB2AAF"/>
    <w:rsid w:val="00DB3494"/>
    <w:rsid w:val="00DB4EA0"/>
    <w:rsid w:val="00DB55DB"/>
    <w:rsid w:val="00DB5F98"/>
    <w:rsid w:val="00DB6462"/>
    <w:rsid w:val="00DB6AE7"/>
    <w:rsid w:val="00DC1A6F"/>
    <w:rsid w:val="00DC1ED9"/>
    <w:rsid w:val="00DC1EE9"/>
    <w:rsid w:val="00DC2095"/>
    <w:rsid w:val="00DC2827"/>
    <w:rsid w:val="00DC2932"/>
    <w:rsid w:val="00DC4BAB"/>
    <w:rsid w:val="00DC4FE7"/>
    <w:rsid w:val="00DC5769"/>
    <w:rsid w:val="00DC60BD"/>
    <w:rsid w:val="00DD2FCA"/>
    <w:rsid w:val="00DD300F"/>
    <w:rsid w:val="00DD3B3C"/>
    <w:rsid w:val="00DD4292"/>
    <w:rsid w:val="00DD443D"/>
    <w:rsid w:val="00DD4552"/>
    <w:rsid w:val="00DD46F6"/>
    <w:rsid w:val="00DD4D02"/>
    <w:rsid w:val="00DE09A2"/>
    <w:rsid w:val="00DE0A26"/>
    <w:rsid w:val="00DE1C54"/>
    <w:rsid w:val="00DE1E69"/>
    <w:rsid w:val="00DE4371"/>
    <w:rsid w:val="00DE4551"/>
    <w:rsid w:val="00DE459C"/>
    <w:rsid w:val="00DE62CE"/>
    <w:rsid w:val="00DE6C7B"/>
    <w:rsid w:val="00DE6EFF"/>
    <w:rsid w:val="00DE73C4"/>
    <w:rsid w:val="00DE7FDF"/>
    <w:rsid w:val="00DF05FA"/>
    <w:rsid w:val="00DF096B"/>
    <w:rsid w:val="00DF33B5"/>
    <w:rsid w:val="00DF3D9D"/>
    <w:rsid w:val="00DF422D"/>
    <w:rsid w:val="00DF470F"/>
    <w:rsid w:val="00DF63D6"/>
    <w:rsid w:val="00DF67CE"/>
    <w:rsid w:val="00DF6A0A"/>
    <w:rsid w:val="00DF7E70"/>
    <w:rsid w:val="00E004A4"/>
    <w:rsid w:val="00E00BED"/>
    <w:rsid w:val="00E00D5D"/>
    <w:rsid w:val="00E0112C"/>
    <w:rsid w:val="00E0154C"/>
    <w:rsid w:val="00E01594"/>
    <w:rsid w:val="00E016C3"/>
    <w:rsid w:val="00E0186E"/>
    <w:rsid w:val="00E01C6A"/>
    <w:rsid w:val="00E02173"/>
    <w:rsid w:val="00E0438C"/>
    <w:rsid w:val="00E06DBE"/>
    <w:rsid w:val="00E06F84"/>
    <w:rsid w:val="00E11C76"/>
    <w:rsid w:val="00E15858"/>
    <w:rsid w:val="00E15BB4"/>
    <w:rsid w:val="00E17D15"/>
    <w:rsid w:val="00E2034B"/>
    <w:rsid w:val="00E2078C"/>
    <w:rsid w:val="00E20CC5"/>
    <w:rsid w:val="00E211ED"/>
    <w:rsid w:val="00E227ED"/>
    <w:rsid w:val="00E246C7"/>
    <w:rsid w:val="00E267D1"/>
    <w:rsid w:val="00E272A2"/>
    <w:rsid w:val="00E279F4"/>
    <w:rsid w:val="00E27BD3"/>
    <w:rsid w:val="00E27E54"/>
    <w:rsid w:val="00E30463"/>
    <w:rsid w:val="00E30A97"/>
    <w:rsid w:val="00E31B19"/>
    <w:rsid w:val="00E330CF"/>
    <w:rsid w:val="00E35CD3"/>
    <w:rsid w:val="00E410A4"/>
    <w:rsid w:val="00E41C32"/>
    <w:rsid w:val="00E41DE0"/>
    <w:rsid w:val="00E43B3C"/>
    <w:rsid w:val="00E45932"/>
    <w:rsid w:val="00E45B56"/>
    <w:rsid w:val="00E51E20"/>
    <w:rsid w:val="00E52EAF"/>
    <w:rsid w:val="00E54923"/>
    <w:rsid w:val="00E56FCE"/>
    <w:rsid w:val="00E577D1"/>
    <w:rsid w:val="00E608B1"/>
    <w:rsid w:val="00E61564"/>
    <w:rsid w:val="00E617E6"/>
    <w:rsid w:val="00E61E24"/>
    <w:rsid w:val="00E6214D"/>
    <w:rsid w:val="00E622A4"/>
    <w:rsid w:val="00E62547"/>
    <w:rsid w:val="00E62DB2"/>
    <w:rsid w:val="00E632A0"/>
    <w:rsid w:val="00E634AC"/>
    <w:rsid w:val="00E64110"/>
    <w:rsid w:val="00E641C3"/>
    <w:rsid w:val="00E644FE"/>
    <w:rsid w:val="00E64709"/>
    <w:rsid w:val="00E64C27"/>
    <w:rsid w:val="00E64CE8"/>
    <w:rsid w:val="00E66470"/>
    <w:rsid w:val="00E66F16"/>
    <w:rsid w:val="00E70BC4"/>
    <w:rsid w:val="00E71E46"/>
    <w:rsid w:val="00E72200"/>
    <w:rsid w:val="00E72A89"/>
    <w:rsid w:val="00E7319E"/>
    <w:rsid w:val="00E73A29"/>
    <w:rsid w:val="00E745D7"/>
    <w:rsid w:val="00E75FA4"/>
    <w:rsid w:val="00E760BA"/>
    <w:rsid w:val="00E77837"/>
    <w:rsid w:val="00E80922"/>
    <w:rsid w:val="00E810D2"/>
    <w:rsid w:val="00E816CE"/>
    <w:rsid w:val="00E81A39"/>
    <w:rsid w:val="00E81C10"/>
    <w:rsid w:val="00E848D0"/>
    <w:rsid w:val="00E8499D"/>
    <w:rsid w:val="00E8499E"/>
    <w:rsid w:val="00E850F8"/>
    <w:rsid w:val="00E853D3"/>
    <w:rsid w:val="00E86BBB"/>
    <w:rsid w:val="00E871A5"/>
    <w:rsid w:val="00E872EB"/>
    <w:rsid w:val="00E8766C"/>
    <w:rsid w:val="00E91E0F"/>
    <w:rsid w:val="00E923AD"/>
    <w:rsid w:val="00E930BD"/>
    <w:rsid w:val="00E936A3"/>
    <w:rsid w:val="00E93752"/>
    <w:rsid w:val="00E9478F"/>
    <w:rsid w:val="00E94DA7"/>
    <w:rsid w:val="00EA2C60"/>
    <w:rsid w:val="00EA314F"/>
    <w:rsid w:val="00EA33CB"/>
    <w:rsid w:val="00EA3F76"/>
    <w:rsid w:val="00EA42C8"/>
    <w:rsid w:val="00EA5016"/>
    <w:rsid w:val="00EA7FD6"/>
    <w:rsid w:val="00EB13A3"/>
    <w:rsid w:val="00EB176F"/>
    <w:rsid w:val="00EB226D"/>
    <w:rsid w:val="00EB29D7"/>
    <w:rsid w:val="00EB2DDC"/>
    <w:rsid w:val="00EB34BB"/>
    <w:rsid w:val="00EB3745"/>
    <w:rsid w:val="00EB3A4C"/>
    <w:rsid w:val="00EB4259"/>
    <w:rsid w:val="00EB481B"/>
    <w:rsid w:val="00EB4E62"/>
    <w:rsid w:val="00EB53D4"/>
    <w:rsid w:val="00EB70CC"/>
    <w:rsid w:val="00EB7210"/>
    <w:rsid w:val="00EB7298"/>
    <w:rsid w:val="00EB7B1F"/>
    <w:rsid w:val="00EC0520"/>
    <w:rsid w:val="00EC35C9"/>
    <w:rsid w:val="00EC3ADC"/>
    <w:rsid w:val="00EC434B"/>
    <w:rsid w:val="00EC490A"/>
    <w:rsid w:val="00EC504A"/>
    <w:rsid w:val="00EC5953"/>
    <w:rsid w:val="00EC7256"/>
    <w:rsid w:val="00EC73E7"/>
    <w:rsid w:val="00EC7B08"/>
    <w:rsid w:val="00ED1BD2"/>
    <w:rsid w:val="00ED1BF6"/>
    <w:rsid w:val="00ED1C20"/>
    <w:rsid w:val="00ED207D"/>
    <w:rsid w:val="00ED2255"/>
    <w:rsid w:val="00ED26EB"/>
    <w:rsid w:val="00ED34A9"/>
    <w:rsid w:val="00ED36DC"/>
    <w:rsid w:val="00ED47A8"/>
    <w:rsid w:val="00ED4A0B"/>
    <w:rsid w:val="00EE0883"/>
    <w:rsid w:val="00EE0DDE"/>
    <w:rsid w:val="00EE298F"/>
    <w:rsid w:val="00EE2B47"/>
    <w:rsid w:val="00EE3C0F"/>
    <w:rsid w:val="00EE4AA5"/>
    <w:rsid w:val="00EE5198"/>
    <w:rsid w:val="00EE53C1"/>
    <w:rsid w:val="00EE5D83"/>
    <w:rsid w:val="00EE61AE"/>
    <w:rsid w:val="00EE61CF"/>
    <w:rsid w:val="00EE64DA"/>
    <w:rsid w:val="00EE6560"/>
    <w:rsid w:val="00EE74E6"/>
    <w:rsid w:val="00EE78CD"/>
    <w:rsid w:val="00EF0650"/>
    <w:rsid w:val="00EF1CAD"/>
    <w:rsid w:val="00EF205A"/>
    <w:rsid w:val="00EF2626"/>
    <w:rsid w:val="00EF3A7F"/>
    <w:rsid w:val="00EF4B65"/>
    <w:rsid w:val="00EF6881"/>
    <w:rsid w:val="00F00111"/>
    <w:rsid w:val="00F014AA"/>
    <w:rsid w:val="00F01C8A"/>
    <w:rsid w:val="00F0312D"/>
    <w:rsid w:val="00F06260"/>
    <w:rsid w:val="00F07A34"/>
    <w:rsid w:val="00F07A63"/>
    <w:rsid w:val="00F10D10"/>
    <w:rsid w:val="00F11110"/>
    <w:rsid w:val="00F11787"/>
    <w:rsid w:val="00F121BF"/>
    <w:rsid w:val="00F131E3"/>
    <w:rsid w:val="00F14EA8"/>
    <w:rsid w:val="00F151C2"/>
    <w:rsid w:val="00F15CAA"/>
    <w:rsid w:val="00F16FA8"/>
    <w:rsid w:val="00F21875"/>
    <w:rsid w:val="00F220A9"/>
    <w:rsid w:val="00F22E1A"/>
    <w:rsid w:val="00F232F7"/>
    <w:rsid w:val="00F24610"/>
    <w:rsid w:val="00F27E39"/>
    <w:rsid w:val="00F31C3D"/>
    <w:rsid w:val="00F325D0"/>
    <w:rsid w:val="00F3311C"/>
    <w:rsid w:val="00F340CC"/>
    <w:rsid w:val="00F356F8"/>
    <w:rsid w:val="00F35C12"/>
    <w:rsid w:val="00F375B4"/>
    <w:rsid w:val="00F378E5"/>
    <w:rsid w:val="00F4036D"/>
    <w:rsid w:val="00F40D18"/>
    <w:rsid w:val="00F41308"/>
    <w:rsid w:val="00F4331C"/>
    <w:rsid w:val="00F43E87"/>
    <w:rsid w:val="00F4447F"/>
    <w:rsid w:val="00F44650"/>
    <w:rsid w:val="00F44AAC"/>
    <w:rsid w:val="00F4583E"/>
    <w:rsid w:val="00F460DA"/>
    <w:rsid w:val="00F4689E"/>
    <w:rsid w:val="00F47A14"/>
    <w:rsid w:val="00F507CE"/>
    <w:rsid w:val="00F50CD8"/>
    <w:rsid w:val="00F5244C"/>
    <w:rsid w:val="00F5390A"/>
    <w:rsid w:val="00F54028"/>
    <w:rsid w:val="00F54252"/>
    <w:rsid w:val="00F54298"/>
    <w:rsid w:val="00F54BBD"/>
    <w:rsid w:val="00F54FC1"/>
    <w:rsid w:val="00F55776"/>
    <w:rsid w:val="00F561F3"/>
    <w:rsid w:val="00F56761"/>
    <w:rsid w:val="00F57D8A"/>
    <w:rsid w:val="00F60DE5"/>
    <w:rsid w:val="00F61A4D"/>
    <w:rsid w:val="00F61D91"/>
    <w:rsid w:val="00F61F86"/>
    <w:rsid w:val="00F622F9"/>
    <w:rsid w:val="00F62350"/>
    <w:rsid w:val="00F62F1A"/>
    <w:rsid w:val="00F62FF3"/>
    <w:rsid w:val="00F66344"/>
    <w:rsid w:val="00F66DF1"/>
    <w:rsid w:val="00F671D0"/>
    <w:rsid w:val="00F7070C"/>
    <w:rsid w:val="00F7219B"/>
    <w:rsid w:val="00F72EC5"/>
    <w:rsid w:val="00F74176"/>
    <w:rsid w:val="00F74E51"/>
    <w:rsid w:val="00F7582B"/>
    <w:rsid w:val="00F76F49"/>
    <w:rsid w:val="00F80235"/>
    <w:rsid w:val="00F80409"/>
    <w:rsid w:val="00F82260"/>
    <w:rsid w:val="00F82A14"/>
    <w:rsid w:val="00F83509"/>
    <w:rsid w:val="00F83668"/>
    <w:rsid w:val="00F844C5"/>
    <w:rsid w:val="00F875B0"/>
    <w:rsid w:val="00F90077"/>
    <w:rsid w:val="00F90F7C"/>
    <w:rsid w:val="00F91E64"/>
    <w:rsid w:val="00F92650"/>
    <w:rsid w:val="00F92711"/>
    <w:rsid w:val="00F92E63"/>
    <w:rsid w:val="00F96266"/>
    <w:rsid w:val="00F9676C"/>
    <w:rsid w:val="00F96C26"/>
    <w:rsid w:val="00FA0789"/>
    <w:rsid w:val="00FA0E4F"/>
    <w:rsid w:val="00FA0FF6"/>
    <w:rsid w:val="00FA16DF"/>
    <w:rsid w:val="00FA22AC"/>
    <w:rsid w:val="00FA2D3A"/>
    <w:rsid w:val="00FA584F"/>
    <w:rsid w:val="00FA672B"/>
    <w:rsid w:val="00FB0839"/>
    <w:rsid w:val="00FB0BE6"/>
    <w:rsid w:val="00FB1677"/>
    <w:rsid w:val="00FB177F"/>
    <w:rsid w:val="00FB30F0"/>
    <w:rsid w:val="00FB4475"/>
    <w:rsid w:val="00FB508D"/>
    <w:rsid w:val="00FB5555"/>
    <w:rsid w:val="00FB5606"/>
    <w:rsid w:val="00FB5923"/>
    <w:rsid w:val="00FB5E77"/>
    <w:rsid w:val="00FB620A"/>
    <w:rsid w:val="00FB69A0"/>
    <w:rsid w:val="00FC0EFA"/>
    <w:rsid w:val="00FC1CA9"/>
    <w:rsid w:val="00FC1D40"/>
    <w:rsid w:val="00FC404F"/>
    <w:rsid w:val="00FC485C"/>
    <w:rsid w:val="00FC4CE7"/>
    <w:rsid w:val="00FC4E23"/>
    <w:rsid w:val="00FC4EAC"/>
    <w:rsid w:val="00FC5332"/>
    <w:rsid w:val="00FC76AF"/>
    <w:rsid w:val="00FC77DB"/>
    <w:rsid w:val="00FD0C00"/>
    <w:rsid w:val="00FD0C8F"/>
    <w:rsid w:val="00FD1B62"/>
    <w:rsid w:val="00FD35C6"/>
    <w:rsid w:val="00FD426D"/>
    <w:rsid w:val="00FD486E"/>
    <w:rsid w:val="00FD4DA9"/>
    <w:rsid w:val="00FD5183"/>
    <w:rsid w:val="00FD598C"/>
    <w:rsid w:val="00FD6158"/>
    <w:rsid w:val="00FD62A9"/>
    <w:rsid w:val="00FD7A6A"/>
    <w:rsid w:val="00FD7FC5"/>
    <w:rsid w:val="00FE002A"/>
    <w:rsid w:val="00FE2B42"/>
    <w:rsid w:val="00FE3B58"/>
    <w:rsid w:val="00FE5243"/>
    <w:rsid w:val="00FE5DC2"/>
    <w:rsid w:val="00FE6232"/>
    <w:rsid w:val="00FE6678"/>
    <w:rsid w:val="00FE6CE4"/>
    <w:rsid w:val="00FE6D53"/>
    <w:rsid w:val="00FE7B4C"/>
    <w:rsid w:val="00FE7C4A"/>
    <w:rsid w:val="00FF494E"/>
    <w:rsid w:val="00FF4CC3"/>
    <w:rsid w:val="00FF5CD6"/>
    <w:rsid w:val="00FF7C52"/>
    <w:rsid w:val="00FF7C6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B2F1C1"/>
  <w15:docId w15:val="{498B48D3-CFCC-40FF-8203-9E6504501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2CDD"/>
    <w:pPr>
      <w:spacing w:after="240" w:line="300" w:lineRule="auto"/>
      <w:ind w:left="567"/>
      <w:jc w:val="both"/>
    </w:pPr>
  </w:style>
  <w:style w:type="paragraph" w:styleId="Heading1">
    <w:name w:val="heading 1"/>
    <w:basedOn w:val="Heading2"/>
    <w:next w:val="Normal"/>
    <w:link w:val="Heading1Char"/>
    <w:uiPriority w:val="9"/>
    <w:qFormat/>
    <w:rsid w:val="003E3E14"/>
    <w:pPr>
      <w:numPr>
        <w:ilvl w:val="0"/>
      </w:numPr>
      <w:spacing w:after="240"/>
      <w:ind w:left="567" w:hanging="567"/>
      <w:outlineLvl w:val="0"/>
    </w:pPr>
    <w:rPr>
      <w:sz w:val="28"/>
      <w:szCs w:val="28"/>
    </w:rPr>
  </w:style>
  <w:style w:type="paragraph" w:styleId="Heading2">
    <w:name w:val="heading 2"/>
    <w:basedOn w:val="Normal"/>
    <w:next w:val="Normal"/>
    <w:link w:val="Heading2Char"/>
    <w:uiPriority w:val="9"/>
    <w:unhideWhenUsed/>
    <w:qFormat/>
    <w:rsid w:val="007B2CDD"/>
    <w:pPr>
      <w:keepNext/>
      <w:keepLines/>
      <w:numPr>
        <w:ilvl w:val="1"/>
        <w:numId w:val="12"/>
      </w:numPr>
      <w:spacing w:before="480" w:after="120"/>
      <w:ind w:left="567" w:hanging="567"/>
      <w:outlineLvl w:val="1"/>
    </w:pPr>
    <w:rPr>
      <w:rFonts w:ascii="Calibri" w:eastAsiaTheme="majorEastAsia" w:hAnsi="Calibri" w:cstheme="majorBidi"/>
      <w:b/>
      <w:bCs/>
      <w:szCs w:val="26"/>
    </w:rPr>
  </w:style>
  <w:style w:type="paragraph" w:styleId="Heading3">
    <w:name w:val="heading 3"/>
    <w:basedOn w:val="Normal"/>
    <w:next w:val="Normal"/>
    <w:link w:val="Heading3Char"/>
    <w:uiPriority w:val="9"/>
    <w:unhideWhenUsed/>
    <w:qFormat/>
    <w:rsid w:val="00427A94"/>
    <w:pPr>
      <w:keepNext/>
      <w:keepLines/>
      <w:spacing w:before="240" w:after="120"/>
      <w:outlineLvl w:val="2"/>
    </w:pPr>
    <w:rPr>
      <w:rFonts w:eastAsiaTheme="majorEastAsia" w:cstheme="majorBidi"/>
      <w:bCs/>
      <w:u w:val="single"/>
    </w:rPr>
  </w:style>
  <w:style w:type="paragraph" w:styleId="Heading4">
    <w:name w:val="heading 4"/>
    <w:basedOn w:val="Normal"/>
    <w:next w:val="Normal"/>
    <w:link w:val="Heading4Char"/>
    <w:uiPriority w:val="9"/>
    <w:unhideWhenUsed/>
    <w:qFormat/>
    <w:rsid w:val="008A0B3F"/>
    <w:pPr>
      <w:keepNext/>
      <w:keepLines/>
      <w:numPr>
        <w:ilvl w:val="3"/>
        <w:numId w:val="12"/>
      </w:numPr>
      <w:spacing w:before="360" w:after="0"/>
      <w:outlineLvl w:val="3"/>
    </w:pPr>
    <w:rPr>
      <w:rFonts w:eastAsiaTheme="majorEastAsia" w:cstheme="majorBidi"/>
      <w:bCs/>
      <w:iCs/>
      <w:u w:val="single"/>
    </w:rPr>
  </w:style>
  <w:style w:type="paragraph" w:styleId="Heading5">
    <w:name w:val="heading 5"/>
    <w:basedOn w:val="Normal"/>
    <w:next w:val="Normal"/>
    <w:link w:val="Heading5Char"/>
    <w:uiPriority w:val="9"/>
    <w:unhideWhenUsed/>
    <w:qFormat/>
    <w:rsid w:val="007B0884"/>
    <w:pPr>
      <w:keepNext/>
      <w:keepLines/>
      <w:numPr>
        <w:ilvl w:val="4"/>
        <w:numId w:val="12"/>
      </w:numPr>
      <w:spacing w:before="360" w:after="120"/>
      <w:outlineLvl w:val="4"/>
    </w:pPr>
    <w:rPr>
      <w:rFonts w:eastAsiaTheme="majorEastAsia" w:cstheme="majorBidi"/>
      <w:i/>
    </w:rPr>
  </w:style>
  <w:style w:type="paragraph" w:styleId="Heading6">
    <w:name w:val="heading 6"/>
    <w:basedOn w:val="Normal"/>
    <w:next w:val="Normal"/>
    <w:link w:val="Heading6Char"/>
    <w:uiPriority w:val="9"/>
    <w:semiHidden/>
    <w:unhideWhenUsed/>
    <w:qFormat/>
    <w:rsid w:val="00A86459"/>
    <w:pPr>
      <w:keepNext/>
      <w:keepLines/>
      <w:numPr>
        <w:ilvl w:val="5"/>
        <w:numId w:val="12"/>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A86459"/>
    <w:pPr>
      <w:keepNext/>
      <w:keepLines/>
      <w:numPr>
        <w:ilvl w:val="6"/>
        <w:numId w:val="12"/>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A86459"/>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86459"/>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86F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7574D6"/>
    <w:pPr>
      <w:spacing w:after="120"/>
      <w:ind w:left="720"/>
      <w:contextualSpacing/>
    </w:pPr>
  </w:style>
  <w:style w:type="paragraph" w:styleId="NoSpacing">
    <w:name w:val="No Spacing"/>
    <w:link w:val="NoSpacingChar"/>
    <w:uiPriority w:val="1"/>
    <w:qFormat/>
    <w:rsid w:val="00ED4A0B"/>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ED4A0B"/>
    <w:rPr>
      <w:rFonts w:eastAsiaTheme="minorEastAsia"/>
      <w:lang w:val="en-US" w:eastAsia="ja-JP"/>
    </w:rPr>
  </w:style>
  <w:style w:type="paragraph" w:styleId="BalloonText">
    <w:name w:val="Balloon Text"/>
    <w:basedOn w:val="Normal"/>
    <w:link w:val="BalloonTextChar"/>
    <w:uiPriority w:val="99"/>
    <w:semiHidden/>
    <w:unhideWhenUsed/>
    <w:rsid w:val="00ED4A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4A0B"/>
    <w:rPr>
      <w:rFonts w:ascii="Tahoma" w:hAnsi="Tahoma" w:cs="Tahoma"/>
      <w:sz w:val="16"/>
      <w:szCs w:val="16"/>
    </w:rPr>
  </w:style>
  <w:style w:type="paragraph" w:styleId="Header">
    <w:name w:val="header"/>
    <w:basedOn w:val="Normal"/>
    <w:link w:val="HeaderChar"/>
    <w:uiPriority w:val="99"/>
    <w:unhideWhenUsed/>
    <w:rsid w:val="00952F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2F06"/>
  </w:style>
  <w:style w:type="paragraph" w:styleId="Footer">
    <w:name w:val="footer"/>
    <w:basedOn w:val="Normal"/>
    <w:link w:val="FooterChar"/>
    <w:uiPriority w:val="99"/>
    <w:unhideWhenUsed/>
    <w:rsid w:val="00952F06"/>
    <w:pPr>
      <w:tabs>
        <w:tab w:val="center" w:pos="4513"/>
        <w:tab w:val="right" w:pos="9026"/>
      </w:tabs>
      <w:spacing w:after="0" w:line="240" w:lineRule="auto"/>
    </w:pPr>
    <w:rPr>
      <w:color w:val="1F497D" w:themeColor="text2"/>
    </w:rPr>
  </w:style>
  <w:style w:type="character" w:customStyle="1" w:styleId="FooterChar">
    <w:name w:val="Footer Char"/>
    <w:basedOn w:val="DefaultParagraphFont"/>
    <w:link w:val="Footer"/>
    <w:uiPriority w:val="99"/>
    <w:rsid w:val="00952F06"/>
    <w:rPr>
      <w:color w:val="1F497D" w:themeColor="text2"/>
    </w:rPr>
  </w:style>
  <w:style w:type="character" w:styleId="Hyperlink">
    <w:name w:val="Hyperlink"/>
    <w:basedOn w:val="DefaultParagraphFont"/>
    <w:uiPriority w:val="99"/>
    <w:unhideWhenUsed/>
    <w:rsid w:val="006F0BAB"/>
    <w:rPr>
      <w:color w:val="0000FF" w:themeColor="hyperlink"/>
      <w:u w:val="single"/>
    </w:rPr>
  </w:style>
  <w:style w:type="character" w:customStyle="1" w:styleId="stephen">
    <w:name w:val="stephen"/>
    <w:basedOn w:val="DefaultParagraphFont"/>
    <w:semiHidden/>
    <w:rsid w:val="007A66A6"/>
    <w:rPr>
      <w:rFonts w:ascii="Arial" w:hAnsi="Arial" w:cs="Arial"/>
      <w:b w:val="0"/>
      <w:bCs w:val="0"/>
      <w:i w:val="0"/>
      <w:iCs w:val="0"/>
      <w:strike w:val="0"/>
      <w:color w:val="auto"/>
      <w:sz w:val="24"/>
      <w:szCs w:val="24"/>
      <w:u w:val="none"/>
    </w:rPr>
  </w:style>
  <w:style w:type="character" w:customStyle="1" w:styleId="Heading2Char">
    <w:name w:val="Heading 2 Char"/>
    <w:basedOn w:val="DefaultParagraphFont"/>
    <w:link w:val="Heading2"/>
    <w:uiPriority w:val="9"/>
    <w:rsid w:val="007B2CDD"/>
    <w:rPr>
      <w:rFonts w:ascii="Calibri" w:eastAsiaTheme="majorEastAsia" w:hAnsi="Calibri" w:cstheme="majorBidi"/>
      <w:b/>
      <w:bCs/>
      <w:szCs w:val="26"/>
    </w:rPr>
  </w:style>
  <w:style w:type="character" w:customStyle="1" w:styleId="Heading1Char">
    <w:name w:val="Heading 1 Char"/>
    <w:basedOn w:val="DefaultParagraphFont"/>
    <w:link w:val="Heading1"/>
    <w:uiPriority w:val="9"/>
    <w:rsid w:val="003E3E14"/>
    <w:rPr>
      <w:rFonts w:ascii="Calibri" w:eastAsiaTheme="majorEastAsia" w:hAnsi="Calibri" w:cstheme="majorBidi"/>
      <w:b/>
      <w:bCs/>
      <w:sz w:val="28"/>
      <w:szCs w:val="28"/>
    </w:rPr>
  </w:style>
  <w:style w:type="character" w:customStyle="1" w:styleId="Heading3Char">
    <w:name w:val="Heading 3 Char"/>
    <w:basedOn w:val="DefaultParagraphFont"/>
    <w:link w:val="Heading3"/>
    <w:uiPriority w:val="9"/>
    <w:rsid w:val="00427A94"/>
    <w:rPr>
      <w:rFonts w:eastAsiaTheme="majorEastAsia" w:cstheme="majorBidi"/>
      <w:bCs/>
      <w:u w:val="single"/>
    </w:rPr>
  </w:style>
  <w:style w:type="paragraph" w:customStyle="1" w:styleId="Tabletext">
    <w:name w:val="Table text"/>
    <w:qFormat/>
    <w:rsid w:val="00427A94"/>
    <w:pPr>
      <w:spacing w:before="60" w:after="60" w:line="240" w:lineRule="auto"/>
    </w:pPr>
    <w:rPr>
      <w:sz w:val="20"/>
    </w:rPr>
  </w:style>
  <w:style w:type="paragraph" w:customStyle="1" w:styleId="Tablelist">
    <w:name w:val="Table list"/>
    <w:basedOn w:val="Tabletext"/>
    <w:qFormat/>
    <w:rsid w:val="003D3927"/>
    <w:pPr>
      <w:numPr>
        <w:numId w:val="1"/>
      </w:numPr>
    </w:pPr>
  </w:style>
  <w:style w:type="paragraph" w:customStyle="1" w:styleId="FigsTables">
    <w:name w:val="Figs Tables"/>
    <w:qFormat/>
    <w:rsid w:val="00BB6FBE"/>
    <w:pPr>
      <w:spacing w:before="360" w:after="120"/>
    </w:pPr>
    <w:rPr>
      <w:b/>
      <w:sz w:val="20"/>
    </w:rPr>
  </w:style>
  <w:style w:type="paragraph" w:styleId="FootnoteText">
    <w:name w:val="footnote text"/>
    <w:basedOn w:val="Normal"/>
    <w:link w:val="FootnoteTextChar"/>
    <w:uiPriority w:val="99"/>
    <w:unhideWhenUsed/>
    <w:rsid w:val="00952F06"/>
    <w:pPr>
      <w:spacing w:after="0" w:line="240" w:lineRule="auto"/>
    </w:pPr>
    <w:rPr>
      <w:sz w:val="20"/>
      <w:szCs w:val="20"/>
    </w:rPr>
  </w:style>
  <w:style w:type="character" w:customStyle="1" w:styleId="FootnoteTextChar">
    <w:name w:val="Footnote Text Char"/>
    <w:basedOn w:val="DefaultParagraphFont"/>
    <w:link w:val="FootnoteText"/>
    <w:uiPriority w:val="99"/>
    <w:rsid w:val="00952F06"/>
    <w:rPr>
      <w:sz w:val="20"/>
      <w:szCs w:val="20"/>
    </w:rPr>
  </w:style>
  <w:style w:type="character" w:styleId="FootnoteReference">
    <w:name w:val="footnote reference"/>
    <w:basedOn w:val="DefaultParagraphFont"/>
    <w:uiPriority w:val="99"/>
    <w:semiHidden/>
    <w:unhideWhenUsed/>
    <w:rsid w:val="00D905D2"/>
    <w:rPr>
      <w:vertAlign w:val="superscript"/>
    </w:rPr>
  </w:style>
  <w:style w:type="character" w:styleId="HTMLCite">
    <w:name w:val="HTML Cite"/>
    <w:basedOn w:val="DefaultParagraphFont"/>
    <w:uiPriority w:val="99"/>
    <w:semiHidden/>
    <w:unhideWhenUsed/>
    <w:rsid w:val="00F875B0"/>
    <w:rPr>
      <w:i/>
      <w:iCs/>
    </w:rPr>
  </w:style>
  <w:style w:type="character" w:customStyle="1" w:styleId="label">
    <w:name w:val="label"/>
    <w:basedOn w:val="DefaultParagraphFont"/>
    <w:rsid w:val="004914C1"/>
  </w:style>
  <w:style w:type="paragraph" w:customStyle="1" w:styleId="Figurestables">
    <w:name w:val="Figures tables"/>
    <w:basedOn w:val="Normal"/>
    <w:qFormat/>
    <w:rsid w:val="00BC017F"/>
    <w:pPr>
      <w:spacing w:after="360" w:line="240" w:lineRule="auto"/>
      <w:jc w:val="center"/>
    </w:pPr>
  </w:style>
  <w:style w:type="character" w:customStyle="1" w:styleId="Heading4Char">
    <w:name w:val="Heading 4 Char"/>
    <w:basedOn w:val="DefaultParagraphFont"/>
    <w:link w:val="Heading4"/>
    <w:uiPriority w:val="9"/>
    <w:rsid w:val="008A0B3F"/>
    <w:rPr>
      <w:rFonts w:eastAsiaTheme="majorEastAsia" w:cstheme="majorBidi"/>
      <w:bCs/>
      <w:iCs/>
      <w:u w:val="single"/>
    </w:rPr>
  </w:style>
  <w:style w:type="character" w:customStyle="1" w:styleId="Heading5Char">
    <w:name w:val="Heading 5 Char"/>
    <w:basedOn w:val="DefaultParagraphFont"/>
    <w:link w:val="Heading5"/>
    <w:uiPriority w:val="9"/>
    <w:rsid w:val="007B0884"/>
    <w:rPr>
      <w:rFonts w:eastAsiaTheme="majorEastAsia" w:cstheme="majorBidi"/>
      <w:i/>
    </w:rPr>
  </w:style>
  <w:style w:type="character" w:customStyle="1" w:styleId="labelborder">
    <w:name w:val="labelborder"/>
    <w:basedOn w:val="DefaultParagraphFont"/>
    <w:rsid w:val="00396C05"/>
  </w:style>
  <w:style w:type="character" w:customStyle="1" w:styleId="labelborder1">
    <w:name w:val="labelborder1"/>
    <w:basedOn w:val="DefaultParagraphFont"/>
    <w:rsid w:val="0061397A"/>
    <w:rPr>
      <w:b w:val="0"/>
      <w:bCs w:val="0"/>
      <w:color w:val="000000"/>
      <w:sz w:val="17"/>
      <w:szCs w:val="17"/>
      <w:bdr w:val="single" w:sz="6" w:space="0" w:color="C0C0C0" w:frame="1"/>
    </w:rPr>
  </w:style>
  <w:style w:type="character" w:styleId="CommentReference">
    <w:name w:val="annotation reference"/>
    <w:basedOn w:val="DefaultParagraphFont"/>
    <w:uiPriority w:val="99"/>
    <w:semiHidden/>
    <w:unhideWhenUsed/>
    <w:rsid w:val="00B71697"/>
    <w:rPr>
      <w:sz w:val="16"/>
      <w:szCs w:val="16"/>
    </w:rPr>
  </w:style>
  <w:style w:type="paragraph" w:styleId="CommentText">
    <w:name w:val="annotation text"/>
    <w:basedOn w:val="Normal"/>
    <w:link w:val="CommentTextChar"/>
    <w:uiPriority w:val="99"/>
    <w:semiHidden/>
    <w:unhideWhenUsed/>
    <w:rsid w:val="00B71697"/>
    <w:pPr>
      <w:spacing w:line="240" w:lineRule="auto"/>
    </w:pPr>
    <w:rPr>
      <w:sz w:val="20"/>
      <w:szCs w:val="20"/>
    </w:rPr>
  </w:style>
  <w:style w:type="character" w:customStyle="1" w:styleId="CommentTextChar">
    <w:name w:val="Comment Text Char"/>
    <w:basedOn w:val="DefaultParagraphFont"/>
    <w:link w:val="CommentText"/>
    <w:uiPriority w:val="99"/>
    <w:semiHidden/>
    <w:rsid w:val="00B71697"/>
    <w:rPr>
      <w:sz w:val="20"/>
      <w:szCs w:val="20"/>
    </w:rPr>
  </w:style>
  <w:style w:type="paragraph" w:styleId="CommentSubject">
    <w:name w:val="annotation subject"/>
    <w:basedOn w:val="CommentText"/>
    <w:next w:val="CommentText"/>
    <w:link w:val="CommentSubjectChar"/>
    <w:uiPriority w:val="99"/>
    <w:semiHidden/>
    <w:unhideWhenUsed/>
    <w:rsid w:val="00B71697"/>
    <w:rPr>
      <w:b/>
      <w:bCs/>
    </w:rPr>
  </w:style>
  <w:style w:type="character" w:customStyle="1" w:styleId="CommentSubjectChar">
    <w:name w:val="Comment Subject Char"/>
    <w:basedOn w:val="CommentTextChar"/>
    <w:link w:val="CommentSubject"/>
    <w:uiPriority w:val="99"/>
    <w:semiHidden/>
    <w:rsid w:val="00B71697"/>
    <w:rPr>
      <w:b/>
      <w:bCs/>
      <w:sz w:val="20"/>
      <w:szCs w:val="20"/>
    </w:rPr>
  </w:style>
  <w:style w:type="paragraph" w:styleId="TOCHeading">
    <w:name w:val="TOC Heading"/>
    <w:next w:val="Normal"/>
    <w:uiPriority w:val="39"/>
    <w:unhideWhenUsed/>
    <w:qFormat/>
    <w:rsid w:val="00427A94"/>
    <w:pPr>
      <w:jc w:val="center"/>
    </w:pPr>
    <w:rPr>
      <w:rFonts w:eastAsiaTheme="majorEastAsia" w:cstheme="majorBidi"/>
      <w:b/>
      <w:bCs/>
      <w:sz w:val="24"/>
      <w:szCs w:val="28"/>
      <w:lang w:val="en-US" w:eastAsia="ja-JP"/>
    </w:rPr>
  </w:style>
  <w:style w:type="paragraph" w:styleId="TOC1">
    <w:name w:val="toc 1"/>
    <w:basedOn w:val="Normal"/>
    <w:next w:val="Normal"/>
    <w:autoRedefine/>
    <w:uiPriority w:val="39"/>
    <w:unhideWhenUsed/>
    <w:rsid w:val="00611AC5"/>
    <w:pPr>
      <w:tabs>
        <w:tab w:val="left" w:pos="567"/>
        <w:tab w:val="right" w:leader="dot" w:pos="9016"/>
      </w:tabs>
      <w:spacing w:after="100"/>
      <w:ind w:left="142"/>
    </w:pPr>
    <w:rPr>
      <w:b/>
    </w:rPr>
  </w:style>
  <w:style w:type="paragraph" w:styleId="TOC2">
    <w:name w:val="toc 2"/>
    <w:basedOn w:val="Normal"/>
    <w:next w:val="Normal"/>
    <w:autoRedefine/>
    <w:uiPriority w:val="39"/>
    <w:unhideWhenUsed/>
    <w:rsid w:val="00064118"/>
    <w:pPr>
      <w:tabs>
        <w:tab w:val="left" w:pos="1134"/>
        <w:tab w:val="right" w:leader="dot" w:pos="9016"/>
      </w:tabs>
      <w:spacing w:after="100"/>
    </w:pPr>
  </w:style>
  <w:style w:type="paragraph" w:styleId="NormalWeb">
    <w:name w:val="Normal (Web)"/>
    <w:basedOn w:val="Normal"/>
    <w:uiPriority w:val="99"/>
    <w:unhideWhenUsed/>
    <w:rsid w:val="006010AC"/>
    <w:pPr>
      <w:spacing w:before="100" w:beforeAutospacing="1" w:after="100" w:afterAutospacing="1" w:line="240" w:lineRule="auto"/>
      <w:jc w:val="left"/>
    </w:pPr>
    <w:rPr>
      <w:rFonts w:ascii="Times New Roman" w:eastAsia="Times New Roman" w:hAnsi="Times New Roman" w:cs="Times New Roman"/>
      <w:sz w:val="24"/>
      <w:szCs w:val="24"/>
      <w:lang w:eastAsia="en-IE"/>
    </w:rPr>
  </w:style>
  <w:style w:type="character" w:customStyle="1" w:styleId="2">
    <w:name w:val="2"/>
    <w:basedOn w:val="DefaultParagraphFont"/>
    <w:rsid w:val="006010AC"/>
  </w:style>
  <w:style w:type="character" w:customStyle="1" w:styleId="-5">
    <w:name w:val="-5"/>
    <w:basedOn w:val="DefaultParagraphFont"/>
    <w:rsid w:val="006010AC"/>
  </w:style>
  <w:style w:type="character" w:customStyle="1" w:styleId="-4">
    <w:name w:val="-4"/>
    <w:basedOn w:val="DefaultParagraphFont"/>
    <w:rsid w:val="006010AC"/>
  </w:style>
  <w:style w:type="character" w:customStyle="1" w:styleId="-3">
    <w:name w:val="-3"/>
    <w:basedOn w:val="DefaultParagraphFont"/>
    <w:rsid w:val="006010AC"/>
  </w:style>
  <w:style w:type="character" w:customStyle="1" w:styleId="-6">
    <w:name w:val="-6"/>
    <w:basedOn w:val="DefaultParagraphFont"/>
    <w:rsid w:val="007A7BC7"/>
  </w:style>
  <w:style w:type="table" w:styleId="LightShading-Accent1">
    <w:name w:val="Light Shading Accent 1"/>
    <w:basedOn w:val="TableNormal"/>
    <w:uiPriority w:val="60"/>
    <w:rsid w:val="004207D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ulletlist">
    <w:name w:val="Bullet list"/>
    <w:basedOn w:val="ListParagraph"/>
    <w:qFormat/>
    <w:rsid w:val="00F16FA8"/>
    <w:pPr>
      <w:numPr>
        <w:numId w:val="3"/>
      </w:numPr>
      <w:spacing w:after="240"/>
      <w:ind w:left="1134"/>
    </w:pPr>
  </w:style>
  <w:style w:type="paragraph" w:customStyle="1" w:styleId="Figurelabels">
    <w:name w:val="Figure labels"/>
    <w:basedOn w:val="FigsTables"/>
    <w:qFormat/>
    <w:rsid w:val="001C6176"/>
    <w:pPr>
      <w:spacing w:before="0"/>
      <w:ind w:left="567"/>
    </w:pPr>
    <w:rPr>
      <w:sz w:val="22"/>
    </w:rPr>
  </w:style>
  <w:style w:type="character" w:customStyle="1" w:styleId="Heading6Char">
    <w:name w:val="Heading 6 Char"/>
    <w:basedOn w:val="DefaultParagraphFont"/>
    <w:link w:val="Heading6"/>
    <w:uiPriority w:val="9"/>
    <w:semiHidden/>
    <w:rsid w:val="00A86459"/>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A86459"/>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A8645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86459"/>
    <w:rPr>
      <w:rFonts w:asciiTheme="majorHAnsi" w:eastAsiaTheme="majorEastAsia" w:hAnsiTheme="majorHAnsi" w:cstheme="majorBidi"/>
      <w:i/>
      <w:iCs/>
      <w:color w:val="272727" w:themeColor="text1" w:themeTint="D8"/>
      <w:sz w:val="21"/>
      <w:szCs w:val="21"/>
    </w:rPr>
  </w:style>
  <w:style w:type="paragraph" w:styleId="ListNumber">
    <w:name w:val="List Number"/>
    <w:basedOn w:val="Normal"/>
    <w:uiPriority w:val="99"/>
    <w:unhideWhenUsed/>
    <w:rsid w:val="00A779D8"/>
    <w:pPr>
      <w:numPr>
        <w:numId w:val="20"/>
      </w:numPr>
      <w:contextualSpacing/>
    </w:pPr>
  </w:style>
  <w:style w:type="paragraph" w:styleId="ListNumber2">
    <w:name w:val="List Number 2"/>
    <w:basedOn w:val="Normal"/>
    <w:uiPriority w:val="99"/>
    <w:unhideWhenUsed/>
    <w:rsid w:val="00A779D8"/>
    <w:pPr>
      <w:numPr>
        <w:numId w:val="21"/>
      </w:numPr>
      <w:contextualSpacing/>
    </w:pPr>
  </w:style>
  <w:style w:type="paragraph" w:styleId="ListNumber3">
    <w:name w:val="List Number 3"/>
    <w:basedOn w:val="Normal"/>
    <w:uiPriority w:val="99"/>
    <w:unhideWhenUsed/>
    <w:rsid w:val="00A779D8"/>
    <w:pPr>
      <w:numPr>
        <w:numId w:val="22"/>
      </w:numPr>
      <w:contextualSpacing/>
    </w:pPr>
  </w:style>
  <w:style w:type="paragraph" w:styleId="ListNumber4">
    <w:name w:val="List Number 4"/>
    <w:basedOn w:val="Normal"/>
    <w:uiPriority w:val="99"/>
    <w:unhideWhenUsed/>
    <w:rsid w:val="00A779D8"/>
    <w:pPr>
      <w:numPr>
        <w:numId w:val="23"/>
      </w:numPr>
      <w:contextualSpacing/>
    </w:pPr>
  </w:style>
  <w:style w:type="paragraph" w:styleId="ListNumber5">
    <w:name w:val="List Number 5"/>
    <w:basedOn w:val="Normal"/>
    <w:uiPriority w:val="99"/>
    <w:unhideWhenUsed/>
    <w:rsid w:val="00A779D8"/>
    <w:pPr>
      <w:numPr>
        <w:numId w:val="24"/>
      </w:numPr>
      <w:contextualSpacing/>
    </w:pPr>
  </w:style>
  <w:style w:type="paragraph" w:styleId="ListBullet2">
    <w:name w:val="List Bullet 2"/>
    <w:basedOn w:val="Normal"/>
    <w:uiPriority w:val="99"/>
    <w:unhideWhenUsed/>
    <w:rsid w:val="00A779D8"/>
    <w:pPr>
      <w:numPr>
        <w:numId w:val="16"/>
      </w:numPr>
      <w:contextualSpacing/>
    </w:pPr>
  </w:style>
  <w:style w:type="table" w:styleId="GridTable3-Accent3">
    <w:name w:val="Grid Table 3 Accent 3"/>
    <w:basedOn w:val="TableNormal"/>
    <w:uiPriority w:val="48"/>
    <w:rsid w:val="00BB6FBE"/>
    <w:pPr>
      <w:spacing w:after="0" w:line="240" w:lineRule="auto"/>
    </w:pPr>
    <w:tblPr>
      <w:tblStyleRowBandSize w:val="1"/>
      <w:tblStyleColBandSize w:val="1"/>
      <w:tblBorders>
        <w:insideV w:val="single" w:sz="4" w:space="0" w:color="auto"/>
      </w:tblBorders>
    </w:tblPr>
    <w:tcPr>
      <w:tcMar>
        <w:top w:w="60" w:type="dxa"/>
        <w:bottom w:w="60" w:type="dxa"/>
      </w:tcMar>
    </w:tcPr>
    <w:tblStylePr w:type="firstRow">
      <w:rPr>
        <w:b/>
        <w:bCs/>
      </w:rPr>
      <w:tblPr/>
      <w:tcPr>
        <w:tcBorders>
          <w:top w:val="nil"/>
          <w:left w:val="nil"/>
          <w:bottom w:val="single" w:sz="4" w:space="0" w:color="auto"/>
          <w:right w:val="nil"/>
          <w:insideH w:val="nil"/>
          <w:insideV w:val="single" w:sz="4" w:space="0" w:color="auto"/>
          <w:tl2br w:val="nil"/>
          <w:tr2bl w:val="nil"/>
        </w:tcBorders>
        <w:shd w:val="clear" w:color="auto" w:fill="C2D69B" w:themeFill="accent3" w:themeFillTint="99"/>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right w:val="nil"/>
          <w:insideH w:val="nil"/>
          <w:insideV w:val="nil"/>
          <w:tl2br w:val="nil"/>
          <w:tr2bl w:val="nil"/>
        </w:tcBorders>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tcBorders>
          <w:top w:val="nil"/>
          <w:left w:val="nil"/>
          <w:bottom w:val="nil"/>
          <w:right w:val="nil"/>
          <w:insideH w:val="nil"/>
          <w:insideV w:val="single" w:sz="4" w:space="0" w:color="auto"/>
          <w:tl2br w:val="nil"/>
          <w:tr2bl w:val="nil"/>
        </w:tcBorders>
        <w:shd w:val="clear" w:color="auto" w:fill="F2F2F2" w:themeFill="background1" w:themeFillShade="F2"/>
      </w:tcPr>
    </w:tblStylePr>
    <w:tblStylePr w:type="band2Horz">
      <w:tblPr/>
      <w:tcPr>
        <w:tcBorders>
          <w:top w:val="nil"/>
          <w:left w:val="nil"/>
          <w:bottom w:val="nil"/>
          <w:right w:val="nil"/>
          <w:insideH w:val="nil"/>
          <w:insideV w:val="single" w:sz="4" w:space="0" w:color="auto"/>
          <w:tl2br w:val="nil"/>
          <w:tr2bl w:val="nil"/>
        </w:tcBorders>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paragraph" w:customStyle="1" w:styleId="Numberlist">
    <w:name w:val="Number list"/>
    <w:basedOn w:val="Bulletlist"/>
    <w:qFormat/>
    <w:rsid w:val="00B6597A"/>
    <w:pPr>
      <w:numPr>
        <w:numId w:val="37"/>
      </w:numPr>
      <w:ind w:left="1037" w:hanging="357"/>
    </w:pPr>
  </w:style>
  <w:style w:type="character" w:customStyle="1" w:styleId="ListParagraphChar">
    <w:name w:val="List Paragraph Char"/>
    <w:basedOn w:val="DefaultParagraphFont"/>
    <w:link w:val="ListParagraph"/>
    <w:uiPriority w:val="34"/>
    <w:locked/>
    <w:rsid w:val="001C05DE"/>
  </w:style>
  <w:style w:type="paragraph" w:customStyle="1" w:styleId="Bulletleader">
    <w:name w:val="Bullet leader"/>
    <w:basedOn w:val="Normal"/>
    <w:next w:val="Bulletlist"/>
    <w:qFormat/>
    <w:rsid w:val="00B40D75"/>
    <w:pPr>
      <w:spacing w:after="60"/>
    </w:pPr>
  </w:style>
  <w:style w:type="table" w:customStyle="1" w:styleId="GridTable3-Accent31">
    <w:name w:val="Grid Table 3 - Accent 31"/>
    <w:basedOn w:val="TableNormal"/>
    <w:next w:val="GridTable3-Accent3"/>
    <w:uiPriority w:val="48"/>
    <w:rsid w:val="00AD1459"/>
    <w:pPr>
      <w:spacing w:after="0" w:line="240" w:lineRule="auto"/>
    </w:pPr>
    <w:tblPr>
      <w:tblStyleRowBandSize w:val="1"/>
      <w:tblStyleColBandSize w:val="1"/>
      <w:tblBorders>
        <w:insideV w:val="single" w:sz="4" w:space="0" w:color="auto"/>
      </w:tblBorders>
    </w:tblPr>
    <w:tcPr>
      <w:tcMar>
        <w:top w:w="60" w:type="dxa"/>
        <w:bottom w:w="60" w:type="dxa"/>
      </w:tcMar>
    </w:tcPr>
    <w:tblStylePr w:type="firstRow">
      <w:rPr>
        <w:b/>
        <w:bCs/>
      </w:rPr>
      <w:tblPr/>
      <w:tcPr>
        <w:tcBorders>
          <w:top w:val="nil"/>
          <w:left w:val="nil"/>
          <w:bottom w:val="single" w:sz="4" w:space="0" w:color="auto"/>
          <w:right w:val="nil"/>
          <w:insideH w:val="nil"/>
          <w:insideV w:val="single" w:sz="4" w:space="0" w:color="auto"/>
          <w:tl2br w:val="nil"/>
          <w:tr2bl w:val="nil"/>
        </w:tcBorders>
        <w:shd w:val="clear" w:color="auto" w:fill="C2D69B" w:themeFill="accent3" w:themeFillTint="99"/>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left"/>
      </w:pPr>
      <w:rPr>
        <w:i w:val="0"/>
        <w:iCs/>
      </w:rPr>
      <w:tblPr/>
      <w:tcPr>
        <w:tcBorders>
          <w:top w:val="nil"/>
          <w:left w:val="nil"/>
          <w:bottom w:val="nil"/>
          <w:right w:val="nil"/>
          <w:insideH w:val="nil"/>
          <w:insideV w:val="nil"/>
          <w:tl2br w:val="nil"/>
          <w:tr2bl w:val="nil"/>
        </w:tcBorders>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tcBorders>
          <w:top w:val="nil"/>
          <w:left w:val="nil"/>
          <w:bottom w:val="nil"/>
          <w:right w:val="nil"/>
          <w:insideH w:val="nil"/>
          <w:insideV w:val="single" w:sz="4" w:space="0" w:color="auto"/>
          <w:tl2br w:val="nil"/>
          <w:tr2bl w:val="nil"/>
        </w:tcBorders>
        <w:shd w:val="clear" w:color="auto" w:fill="F2F2F2" w:themeFill="background1" w:themeFillShade="F2"/>
      </w:tcPr>
    </w:tblStylePr>
    <w:tblStylePr w:type="band2Horz">
      <w:tblPr/>
      <w:tcPr>
        <w:tcBorders>
          <w:top w:val="nil"/>
          <w:left w:val="nil"/>
          <w:bottom w:val="nil"/>
          <w:right w:val="nil"/>
          <w:insideH w:val="nil"/>
          <w:insideV w:val="single" w:sz="4" w:space="0" w:color="auto"/>
          <w:tl2br w:val="nil"/>
          <w:tr2bl w:val="nil"/>
        </w:tcBorders>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37279">
      <w:bodyDiv w:val="1"/>
      <w:marLeft w:val="0"/>
      <w:marRight w:val="0"/>
      <w:marTop w:val="0"/>
      <w:marBottom w:val="0"/>
      <w:divBdr>
        <w:top w:val="none" w:sz="0" w:space="0" w:color="auto"/>
        <w:left w:val="none" w:sz="0" w:space="0" w:color="auto"/>
        <w:bottom w:val="none" w:sz="0" w:space="0" w:color="auto"/>
        <w:right w:val="none" w:sz="0" w:space="0" w:color="auto"/>
      </w:divBdr>
    </w:div>
    <w:div w:id="113137499">
      <w:bodyDiv w:val="1"/>
      <w:marLeft w:val="0"/>
      <w:marRight w:val="0"/>
      <w:marTop w:val="0"/>
      <w:marBottom w:val="0"/>
      <w:divBdr>
        <w:top w:val="none" w:sz="0" w:space="0" w:color="auto"/>
        <w:left w:val="none" w:sz="0" w:space="0" w:color="auto"/>
        <w:bottom w:val="none" w:sz="0" w:space="0" w:color="auto"/>
        <w:right w:val="none" w:sz="0" w:space="0" w:color="auto"/>
      </w:divBdr>
    </w:div>
    <w:div w:id="201209587">
      <w:bodyDiv w:val="1"/>
      <w:marLeft w:val="0"/>
      <w:marRight w:val="0"/>
      <w:marTop w:val="0"/>
      <w:marBottom w:val="0"/>
      <w:divBdr>
        <w:top w:val="none" w:sz="0" w:space="0" w:color="auto"/>
        <w:left w:val="none" w:sz="0" w:space="0" w:color="auto"/>
        <w:bottom w:val="none" w:sz="0" w:space="0" w:color="auto"/>
        <w:right w:val="none" w:sz="0" w:space="0" w:color="auto"/>
      </w:divBdr>
      <w:divsChild>
        <w:div w:id="1447385392">
          <w:marLeft w:val="0"/>
          <w:marRight w:val="0"/>
          <w:marTop w:val="0"/>
          <w:marBottom w:val="0"/>
          <w:divBdr>
            <w:top w:val="none" w:sz="0" w:space="0" w:color="auto"/>
            <w:left w:val="none" w:sz="0" w:space="0" w:color="auto"/>
            <w:bottom w:val="none" w:sz="0" w:space="0" w:color="auto"/>
            <w:right w:val="none" w:sz="0" w:space="0" w:color="auto"/>
          </w:divBdr>
        </w:div>
        <w:div w:id="875581050">
          <w:marLeft w:val="0"/>
          <w:marRight w:val="0"/>
          <w:marTop w:val="0"/>
          <w:marBottom w:val="0"/>
          <w:divBdr>
            <w:top w:val="none" w:sz="0" w:space="0" w:color="auto"/>
            <w:left w:val="none" w:sz="0" w:space="0" w:color="auto"/>
            <w:bottom w:val="none" w:sz="0" w:space="0" w:color="auto"/>
            <w:right w:val="none" w:sz="0" w:space="0" w:color="auto"/>
          </w:divBdr>
        </w:div>
        <w:div w:id="1074545430">
          <w:marLeft w:val="0"/>
          <w:marRight w:val="0"/>
          <w:marTop w:val="0"/>
          <w:marBottom w:val="0"/>
          <w:divBdr>
            <w:top w:val="none" w:sz="0" w:space="0" w:color="auto"/>
            <w:left w:val="none" w:sz="0" w:space="0" w:color="auto"/>
            <w:bottom w:val="none" w:sz="0" w:space="0" w:color="auto"/>
            <w:right w:val="none" w:sz="0" w:space="0" w:color="auto"/>
          </w:divBdr>
        </w:div>
        <w:div w:id="810294247">
          <w:marLeft w:val="0"/>
          <w:marRight w:val="0"/>
          <w:marTop w:val="0"/>
          <w:marBottom w:val="0"/>
          <w:divBdr>
            <w:top w:val="none" w:sz="0" w:space="0" w:color="auto"/>
            <w:left w:val="none" w:sz="0" w:space="0" w:color="auto"/>
            <w:bottom w:val="none" w:sz="0" w:space="0" w:color="auto"/>
            <w:right w:val="none" w:sz="0" w:space="0" w:color="auto"/>
          </w:divBdr>
        </w:div>
      </w:divsChild>
    </w:div>
    <w:div w:id="224535752">
      <w:bodyDiv w:val="1"/>
      <w:marLeft w:val="0"/>
      <w:marRight w:val="0"/>
      <w:marTop w:val="0"/>
      <w:marBottom w:val="0"/>
      <w:divBdr>
        <w:top w:val="none" w:sz="0" w:space="0" w:color="auto"/>
        <w:left w:val="none" w:sz="0" w:space="0" w:color="auto"/>
        <w:bottom w:val="none" w:sz="0" w:space="0" w:color="auto"/>
        <w:right w:val="none" w:sz="0" w:space="0" w:color="auto"/>
      </w:divBdr>
    </w:div>
    <w:div w:id="229850415">
      <w:bodyDiv w:val="1"/>
      <w:marLeft w:val="0"/>
      <w:marRight w:val="0"/>
      <w:marTop w:val="0"/>
      <w:marBottom w:val="0"/>
      <w:divBdr>
        <w:top w:val="none" w:sz="0" w:space="0" w:color="auto"/>
        <w:left w:val="none" w:sz="0" w:space="0" w:color="auto"/>
        <w:bottom w:val="none" w:sz="0" w:space="0" w:color="auto"/>
        <w:right w:val="none" w:sz="0" w:space="0" w:color="auto"/>
      </w:divBdr>
      <w:divsChild>
        <w:div w:id="477305648">
          <w:marLeft w:val="0"/>
          <w:marRight w:val="0"/>
          <w:marTop w:val="0"/>
          <w:marBottom w:val="0"/>
          <w:divBdr>
            <w:top w:val="none" w:sz="0" w:space="0" w:color="auto"/>
            <w:left w:val="none" w:sz="0" w:space="0" w:color="auto"/>
            <w:bottom w:val="none" w:sz="0" w:space="0" w:color="auto"/>
            <w:right w:val="none" w:sz="0" w:space="0" w:color="auto"/>
          </w:divBdr>
        </w:div>
        <w:div w:id="161816108">
          <w:marLeft w:val="0"/>
          <w:marRight w:val="0"/>
          <w:marTop w:val="0"/>
          <w:marBottom w:val="0"/>
          <w:divBdr>
            <w:top w:val="none" w:sz="0" w:space="0" w:color="auto"/>
            <w:left w:val="none" w:sz="0" w:space="0" w:color="auto"/>
            <w:bottom w:val="none" w:sz="0" w:space="0" w:color="auto"/>
            <w:right w:val="none" w:sz="0" w:space="0" w:color="auto"/>
          </w:divBdr>
        </w:div>
        <w:div w:id="31616196">
          <w:marLeft w:val="0"/>
          <w:marRight w:val="0"/>
          <w:marTop w:val="0"/>
          <w:marBottom w:val="0"/>
          <w:divBdr>
            <w:top w:val="none" w:sz="0" w:space="0" w:color="auto"/>
            <w:left w:val="none" w:sz="0" w:space="0" w:color="auto"/>
            <w:bottom w:val="none" w:sz="0" w:space="0" w:color="auto"/>
            <w:right w:val="none" w:sz="0" w:space="0" w:color="auto"/>
          </w:divBdr>
        </w:div>
        <w:div w:id="874653586">
          <w:marLeft w:val="0"/>
          <w:marRight w:val="0"/>
          <w:marTop w:val="0"/>
          <w:marBottom w:val="0"/>
          <w:divBdr>
            <w:top w:val="none" w:sz="0" w:space="0" w:color="auto"/>
            <w:left w:val="none" w:sz="0" w:space="0" w:color="auto"/>
            <w:bottom w:val="none" w:sz="0" w:space="0" w:color="auto"/>
            <w:right w:val="none" w:sz="0" w:space="0" w:color="auto"/>
          </w:divBdr>
        </w:div>
        <w:div w:id="215703932">
          <w:marLeft w:val="0"/>
          <w:marRight w:val="0"/>
          <w:marTop w:val="0"/>
          <w:marBottom w:val="0"/>
          <w:divBdr>
            <w:top w:val="none" w:sz="0" w:space="0" w:color="auto"/>
            <w:left w:val="none" w:sz="0" w:space="0" w:color="auto"/>
            <w:bottom w:val="none" w:sz="0" w:space="0" w:color="auto"/>
            <w:right w:val="none" w:sz="0" w:space="0" w:color="auto"/>
          </w:divBdr>
        </w:div>
        <w:div w:id="103236026">
          <w:marLeft w:val="0"/>
          <w:marRight w:val="0"/>
          <w:marTop w:val="0"/>
          <w:marBottom w:val="0"/>
          <w:divBdr>
            <w:top w:val="none" w:sz="0" w:space="0" w:color="auto"/>
            <w:left w:val="none" w:sz="0" w:space="0" w:color="auto"/>
            <w:bottom w:val="none" w:sz="0" w:space="0" w:color="auto"/>
            <w:right w:val="none" w:sz="0" w:space="0" w:color="auto"/>
          </w:divBdr>
        </w:div>
      </w:divsChild>
    </w:div>
    <w:div w:id="268976494">
      <w:bodyDiv w:val="1"/>
      <w:marLeft w:val="0"/>
      <w:marRight w:val="0"/>
      <w:marTop w:val="0"/>
      <w:marBottom w:val="0"/>
      <w:divBdr>
        <w:top w:val="none" w:sz="0" w:space="0" w:color="auto"/>
        <w:left w:val="none" w:sz="0" w:space="0" w:color="auto"/>
        <w:bottom w:val="none" w:sz="0" w:space="0" w:color="auto"/>
        <w:right w:val="none" w:sz="0" w:space="0" w:color="auto"/>
      </w:divBdr>
    </w:div>
    <w:div w:id="270746866">
      <w:bodyDiv w:val="1"/>
      <w:marLeft w:val="0"/>
      <w:marRight w:val="0"/>
      <w:marTop w:val="0"/>
      <w:marBottom w:val="0"/>
      <w:divBdr>
        <w:top w:val="none" w:sz="0" w:space="0" w:color="auto"/>
        <w:left w:val="none" w:sz="0" w:space="0" w:color="auto"/>
        <w:bottom w:val="none" w:sz="0" w:space="0" w:color="auto"/>
        <w:right w:val="none" w:sz="0" w:space="0" w:color="auto"/>
      </w:divBdr>
    </w:div>
    <w:div w:id="373509633">
      <w:bodyDiv w:val="1"/>
      <w:marLeft w:val="0"/>
      <w:marRight w:val="0"/>
      <w:marTop w:val="0"/>
      <w:marBottom w:val="0"/>
      <w:divBdr>
        <w:top w:val="none" w:sz="0" w:space="0" w:color="auto"/>
        <w:left w:val="none" w:sz="0" w:space="0" w:color="auto"/>
        <w:bottom w:val="none" w:sz="0" w:space="0" w:color="auto"/>
        <w:right w:val="none" w:sz="0" w:space="0" w:color="auto"/>
      </w:divBdr>
      <w:divsChild>
        <w:div w:id="1327171800">
          <w:marLeft w:val="0"/>
          <w:marRight w:val="0"/>
          <w:marTop w:val="0"/>
          <w:marBottom w:val="0"/>
          <w:divBdr>
            <w:top w:val="none" w:sz="0" w:space="0" w:color="auto"/>
            <w:left w:val="none" w:sz="0" w:space="0" w:color="auto"/>
            <w:bottom w:val="none" w:sz="0" w:space="0" w:color="auto"/>
            <w:right w:val="none" w:sz="0" w:space="0" w:color="auto"/>
          </w:divBdr>
        </w:div>
        <w:div w:id="1371494742">
          <w:marLeft w:val="0"/>
          <w:marRight w:val="0"/>
          <w:marTop w:val="0"/>
          <w:marBottom w:val="0"/>
          <w:divBdr>
            <w:top w:val="none" w:sz="0" w:space="0" w:color="auto"/>
            <w:left w:val="none" w:sz="0" w:space="0" w:color="auto"/>
            <w:bottom w:val="none" w:sz="0" w:space="0" w:color="auto"/>
            <w:right w:val="none" w:sz="0" w:space="0" w:color="auto"/>
          </w:divBdr>
        </w:div>
        <w:div w:id="1276403580">
          <w:marLeft w:val="0"/>
          <w:marRight w:val="0"/>
          <w:marTop w:val="0"/>
          <w:marBottom w:val="0"/>
          <w:divBdr>
            <w:top w:val="none" w:sz="0" w:space="0" w:color="auto"/>
            <w:left w:val="none" w:sz="0" w:space="0" w:color="auto"/>
            <w:bottom w:val="none" w:sz="0" w:space="0" w:color="auto"/>
            <w:right w:val="none" w:sz="0" w:space="0" w:color="auto"/>
          </w:divBdr>
        </w:div>
        <w:div w:id="1049719311">
          <w:marLeft w:val="0"/>
          <w:marRight w:val="0"/>
          <w:marTop w:val="0"/>
          <w:marBottom w:val="0"/>
          <w:divBdr>
            <w:top w:val="none" w:sz="0" w:space="0" w:color="auto"/>
            <w:left w:val="none" w:sz="0" w:space="0" w:color="auto"/>
            <w:bottom w:val="none" w:sz="0" w:space="0" w:color="auto"/>
            <w:right w:val="none" w:sz="0" w:space="0" w:color="auto"/>
          </w:divBdr>
        </w:div>
        <w:div w:id="1445803565">
          <w:marLeft w:val="0"/>
          <w:marRight w:val="0"/>
          <w:marTop w:val="0"/>
          <w:marBottom w:val="0"/>
          <w:divBdr>
            <w:top w:val="none" w:sz="0" w:space="0" w:color="auto"/>
            <w:left w:val="none" w:sz="0" w:space="0" w:color="auto"/>
            <w:bottom w:val="none" w:sz="0" w:space="0" w:color="auto"/>
            <w:right w:val="none" w:sz="0" w:space="0" w:color="auto"/>
          </w:divBdr>
        </w:div>
        <w:div w:id="85803">
          <w:marLeft w:val="0"/>
          <w:marRight w:val="0"/>
          <w:marTop w:val="0"/>
          <w:marBottom w:val="0"/>
          <w:divBdr>
            <w:top w:val="none" w:sz="0" w:space="0" w:color="auto"/>
            <w:left w:val="none" w:sz="0" w:space="0" w:color="auto"/>
            <w:bottom w:val="none" w:sz="0" w:space="0" w:color="auto"/>
            <w:right w:val="none" w:sz="0" w:space="0" w:color="auto"/>
          </w:divBdr>
        </w:div>
        <w:div w:id="1390810841">
          <w:marLeft w:val="0"/>
          <w:marRight w:val="0"/>
          <w:marTop w:val="0"/>
          <w:marBottom w:val="0"/>
          <w:divBdr>
            <w:top w:val="none" w:sz="0" w:space="0" w:color="auto"/>
            <w:left w:val="none" w:sz="0" w:space="0" w:color="auto"/>
            <w:bottom w:val="none" w:sz="0" w:space="0" w:color="auto"/>
            <w:right w:val="none" w:sz="0" w:space="0" w:color="auto"/>
          </w:divBdr>
        </w:div>
        <w:div w:id="65498954">
          <w:marLeft w:val="0"/>
          <w:marRight w:val="0"/>
          <w:marTop w:val="0"/>
          <w:marBottom w:val="0"/>
          <w:divBdr>
            <w:top w:val="none" w:sz="0" w:space="0" w:color="auto"/>
            <w:left w:val="none" w:sz="0" w:space="0" w:color="auto"/>
            <w:bottom w:val="none" w:sz="0" w:space="0" w:color="auto"/>
            <w:right w:val="none" w:sz="0" w:space="0" w:color="auto"/>
          </w:divBdr>
        </w:div>
        <w:div w:id="435758920">
          <w:marLeft w:val="0"/>
          <w:marRight w:val="0"/>
          <w:marTop w:val="0"/>
          <w:marBottom w:val="0"/>
          <w:divBdr>
            <w:top w:val="none" w:sz="0" w:space="0" w:color="auto"/>
            <w:left w:val="none" w:sz="0" w:space="0" w:color="auto"/>
            <w:bottom w:val="none" w:sz="0" w:space="0" w:color="auto"/>
            <w:right w:val="none" w:sz="0" w:space="0" w:color="auto"/>
          </w:divBdr>
        </w:div>
      </w:divsChild>
    </w:div>
    <w:div w:id="444229311">
      <w:bodyDiv w:val="1"/>
      <w:marLeft w:val="0"/>
      <w:marRight w:val="0"/>
      <w:marTop w:val="0"/>
      <w:marBottom w:val="0"/>
      <w:divBdr>
        <w:top w:val="none" w:sz="0" w:space="0" w:color="auto"/>
        <w:left w:val="none" w:sz="0" w:space="0" w:color="auto"/>
        <w:bottom w:val="none" w:sz="0" w:space="0" w:color="auto"/>
        <w:right w:val="none" w:sz="0" w:space="0" w:color="auto"/>
      </w:divBdr>
    </w:div>
    <w:div w:id="484904057">
      <w:bodyDiv w:val="1"/>
      <w:marLeft w:val="0"/>
      <w:marRight w:val="0"/>
      <w:marTop w:val="0"/>
      <w:marBottom w:val="0"/>
      <w:divBdr>
        <w:top w:val="none" w:sz="0" w:space="0" w:color="auto"/>
        <w:left w:val="none" w:sz="0" w:space="0" w:color="auto"/>
        <w:bottom w:val="none" w:sz="0" w:space="0" w:color="auto"/>
        <w:right w:val="none" w:sz="0" w:space="0" w:color="auto"/>
      </w:divBdr>
    </w:div>
    <w:div w:id="488062426">
      <w:bodyDiv w:val="1"/>
      <w:marLeft w:val="0"/>
      <w:marRight w:val="0"/>
      <w:marTop w:val="0"/>
      <w:marBottom w:val="0"/>
      <w:divBdr>
        <w:top w:val="none" w:sz="0" w:space="0" w:color="auto"/>
        <w:left w:val="none" w:sz="0" w:space="0" w:color="auto"/>
        <w:bottom w:val="none" w:sz="0" w:space="0" w:color="auto"/>
        <w:right w:val="none" w:sz="0" w:space="0" w:color="auto"/>
      </w:divBdr>
    </w:div>
    <w:div w:id="558053969">
      <w:bodyDiv w:val="1"/>
      <w:marLeft w:val="0"/>
      <w:marRight w:val="0"/>
      <w:marTop w:val="0"/>
      <w:marBottom w:val="0"/>
      <w:divBdr>
        <w:top w:val="none" w:sz="0" w:space="0" w:color="auto"/>
        <w:left w:val="none" w:sz="0" w:space="0" w:color="auto"/>
        <w:bottom w:val="none" w:sz="0" w:space="0" w:color="auto"/>
        <w:right w:val="none" w:sz="0" w:space="0" w:color="auto"/>
      </w:divBdr>
      <w:divsChild>
        <w:div w:id="1082681285">
          <w:marLeft w:val="0"/>
          <w:marRight w:val="0"/>
          <w:marTop w:val="0"/>
          <w:marBottom w:val="0"/>
          <w:divBdr>
            <w:top w:val="none" w:sz="0" w:space="0" w:color="auto"/>
            <w:left w:val="none" w:sz="0" w:space="0" w:color="auto"/>
            <w:bottom w:val="none" w:sz="0" w:space="0" w:color="auto"/>
            <w:right w:val="none" w:sz="0" w:space="0" w:color="auto"/>
          </w:divBdr>
        </w:div>
        <w:div w:id="391928879">
          <w:marLeft w:val="0"/>
          <w:marRight w:val="0"/>
          <w:marTop w:val="0"/>
          <w:marBottom w:val="0"/>
          <w:divBdr>
            <w:top w:val="none" w:sz="0" w:space="0" w:color="auto"/>
            <w:left w:val="none" w:sz="0" w:space="0" w:color="auto"/>
            <w:bottom w:val="none" w:sz="0" w:space="0" w:color="auto"/>
            <w:right w:val="none" w:sz="0" w:space="0" w:color="auto"/>
          </w:divBdr>
        </w:div>
        <w:div w:id="371152384">
          <w:marLeft w:val="0"/>
          <w:marRight w:val="0"/>
          <w:marTop w:val="0"/>
          <w:marBottom w:val="0"/>
          <w:divBdr>
            <w:top w:val="none" w:sz="0" w:space="0" w:color="auto"/>
            <w:left w:val="none" w:sz="0" w:space="0" w:color="auto"/>
            <w:bottom w:val="none" w:sz="0" w:space="0" w:color="auto"/>
            <w:right w:val="none" w:sz="0" w:space="0" w:color="auto"/>
          </w:divBdr>
        </w:div>
        <w:div w:id="1319571575">
          <w:marLeft w:val="0"/>
          <w:marRight w:val="0"/>
          <w:marTop w:val="0"/>
          <w:marBottom w:val="0"/>
          <w:divBdr>
            <w:top w:val="none" w:sz="0" w:space="0" w:color="auto"/>
            <w:left w:val="none" w:sz="0" w:space="0" w:color="auto"/>
            <w:bottom w:val="none" w:sz="0" w:space="0" w:color="auto"/>
            <w:right w:val="none" w:sz="0" w:space="0" w:color="auto"/>
          </w:divBdr>
        </w:div>
        <w:div w:id="900866557">
          <w:marLeft w:val="0"/>
          <w:marRight w:val="0"/>
          <w:marTop w:val="0"/>
          <w:marBottom w:val="0"/>
          <w:divBdr>
            <w:top w:val="none" w:sz="0" w:space="0" w:color="auto"/>
            <w:left w:val="none" w:sz="0" w:space="0" w:color="auto"/>
            <w:bottom w:val="none" w:sz="0" w:space="0" w:color="auto"/>
            <w:right w:val="none" w:sz="0" w:space="0" w:color="auto"/>
          </w:divBdr>
        </w:div>
        <w:div w:id="1728645847">
          <w:marLeft w:val="0"/>
          <w:marRight w:val="0"/>
          <w:marTop w:val="0"/>
          <w:marBottom w:val="0"/>
          <w:divBdr>
            <w:top w:val="none" w:sz="0" w:space="0" w:color="auto"/>
            <w:left w:val="none" w:sz="0" w:space="0" w:color="auto"/>
            <w:bottom w:val="none" w:sz="0" w:space="0" w:color="auto"/>
            <w:right w:val="none" w:sz="0" w:space="0" w:color="auto"/>
          </w:divBdr>
        </w:div>
        <w:div w:id="2007706945">
          <w:marLeft w:val="0"/>
          <w:marRight w:val="0"/>
          <w:marTop w:val="0"/>
          <w:marBottom w:val="0"/>
          <w:divBdr>
            <w:top w:val="none" w:sz="0" w:space="0" w:color="auto"/>
            <w:left w:val="none" w:sz="0" w:space="0" w:color="auto"/>
            <w:bottom w:val="none" w:sz="0" w:space="0" w:color="auto"/>
            <w:right w:val="none" w:sz="0" w:space="0" w:color="auto"/>
          </w:divBdr>
        </w:div>
        <w:div w:id="958490896">
          <w:marLeft w:val="0"/>
          <w:marRight w:val="0"/>
          <w:marTop w:val="0"/>
          <w:marBottom w:val="0"/>
          <w:divBdr>
            <w:top w:val="none" w:sz="0" w:space="0" w:color="auto"/>
            <w:left w:val="none" w:sz="0" w:space="0" w:color="auto"/>
            <w:bottom w:val="none" w:sz="0" w:space="0" w:color="auto"/>
            <w:right w:val="none" w:sz="0" w:space="0" w:color="auto"/>
          </w:divBdr>
        </w:div>
        <w:div w:id="622425222">
          <w:marLeft w:val="0"/>
          <w:marRight w:val="0"/>
          <w:marTop w:val="0"/>
          <w:marBottom w:val="0"/>
          <w:divBdr>
            <w:top w:val="none" w:sz="0" w:space="0" w:color="auto"/>
            <w:left w:val="none" w:sz="0" w:space="0" w:color="auto"/>
            <w:bottom w:val="none" w:sz="0" w:space="0" w:color="auto"/>
            <w:right w:val="none" w:sz="0" w:space="0" w:color="auto"/>
          </w:divBdr>
        </w:div>
        <w:div w:id="1595016104">
          <w:marLeft w:val="0"/>
          <w:marRight w:val="0"/>
          <w:marTop w:val="0"/>
          <w:marBottom w:val="0"/>
          <w:divBdr>
            <w:top w:val="none" w:sz="0" w:space="0" w:color="auto"/>
            <w:left w:val="none" w:sz="0" w:space="0" w:color="auto"/>
            <w:bottom w:val="none" w:sz="0" w:space="0" w:color="auto"/>
            <w:right w:val="none" w:sz="0" w:space="0" w:color="auto"/>
          </w:divBdr>
        </w:div>
        <w:div w:id="1435058536">
          <w:marLeft w:val="0"/>
          <w:marRight w:val="0"/>
          <w:marTop w:val="0"/>
          <w:marBottom w:val="0"/>
          <w:divBdr>
            <w:top w:val="none" w:sz="0" w:space="0" w:color="auto"/>
            <w:left w:val="none" w:sz="0" w:space="0" w:color="auto"/>
            <w:bottom w:val="none" w:sz="0" w:space="0" w:color="auto"/>
            <w:right w:val="none" w:sz="0" w:space="0" w:color="auto"/>
          </w:divBdr>
        </w:div>
        <w:div w:id="1498573786">
          <w:marLeft w:val="0"/>
          <w:marRight w:val="0"/>
          <w:marTop w:val="0"/>
          <w:marBottom w:val="0"/>
          <w:divBdr>
            <w:top w:val="none" w:sz="0" w:space="0" w:color="auto"/>
            <w:left w:val="none" w:sz="0" w:space="0" w:color="auto"/>
            <w:bottom w:val="none" w:sz="0" w:space="0" w:color="auto"/>
            <w:right w:val="none" w:sz="0" w:space="0" w:color="auto"/>
          </w:divBdr>
        </w:div>
        <w:div w:id="679965461">
          <w:marLeft w:val="0"/>
          <w:marRight w:val="0"/>
          <w:marTop w:val="0"/>
          <w:marBottom w:val="0"/>
          <w:divBdr>
            <w:top w:val="none" w:sz="0" w:space="0" w:color="auto"/>
            <w:left w:val="none" w:sz="0" w:space="0" w:color="auto"/>
            <w:bottom w:val="none" w:sz="0" w:space="0" w:color="auto"/>
            <w:right w:val="none" w:sz="0" w:space="0" w:color="auto"/>
          </w:divBdr>
        </w:div>
        <w:div w:id="423648353">
          <w:marLeft w:val="0"/>
          <w:marRight w:val="0"/>
          <w:marTop w:val="0"/>
          <w:marBottom w:val="0"/>
          <w:divBdr>
            <w:top w:val="none" w:sz="0" w:space="0" w:color="auto"/>
            <w:left w:val="none" w:sz="0" w:space="0" w:color="auto"/>
            <w:bottom w:val="none" w:sz="0" w:space="0" w:color="auto"/>
            <w:right w:val="none" w:sz="0" w:space="0" w:color="auto"/>
          </w:divBdr>
        </w:div>
        <w:div w:id="442652427">
          <w:marLeft w:val="0"/>
          <w:marRight w:val="0"/>
          <w:marTop w:val="0"/>
          <w:marBottom w:val="0"/>
          <w:divBdr>
            <w:top w:val="none" w:sz="0" w:space="0" w:color="auto"/>
            <w:left w:val="none" w:sz="0" w:space="0" w:color="auto"/>
            <w:bottom w:val="none" w:sz="0" w:space="0" w:color="auto"/>
            <w:right w:val="none" w:sz="0" w:space="0" w:color="auto"/>
          </w:divBdr>
        </w:div>
        <w:div w:id="1594823505">
          <w:marLeft w:val="0"/>
          <w:marRight w:val="0"/>
          <w:marTop w:val="0"/>
          <w:marBottom w:val="0"/>
          <w:divBdr>
            <w:top w:val="none" w:sz="0" w:space="0" w:color="auto"/>
            <w:left w:val="none" w:sz="0" w:space="0" w:color="auto"/>
            <w:bottom w:val="none" w:sz="0" w:space="0" w:color="auto"/>
            <w:right w:val="none" w:sz="0" w:space="0" w:color="auto"/>
          </w:divBdr>
        </w:div>
        <w:div w:id="515652576">
          <w:marLeft w:val="0"/>
          <w:marRight w:val="0"/>
          <w:marTop w:val="0"/>
          <w:marBottom w:val="0"/>
          <w:divBdr>
            <w:top w:val="none" w:sz="0" w:space="0" w:color="auto"/>
            <w:left w:val="none" w:sz="0" w:space="0" w:color="auto"/>
            <w:bottom w:val="none" w:sz="0" w:space="0" w:color="auto"/>
            <w:right w:val="none" w:sz="0" w:space="0" w:color="auto"/>
          </w:divBdr>
        </w:div>
      </w:divsChild>
    </w:div>
    <w:div w:id="572928669">
      <w:bodyDiv w:val="1"/>
      <w:marLeft w:val="0"/>
      <w:marRight w:val="0"/>
      <w:marTop w:val="0"/>
      <w:marBottom w:val="0"/>
      <w:divBdr>
        <w:top w:val="none" w:sz="0" w:space="0" w:color="auto"/>
        <w:left w:val="none" w:sz="0" w:space="0" w:color="auto"/>
        <w:bottom w:val="none" w:sz="0" w:space="0" w:color="auto"/>
        <w:right w:val="none" w:sz="0" w:space="0" w:color="auto"/>
      </w:divBdr>
    </w:div>
    <w:div w:id="573703456">
      <w:bodyDiv w:val="1"/>
      <w:marLeft w:val="0"/>
      <w:marRight w:val="0"/>
      <w:marTop w:val="0"/>
      <w:marBottom w:val="0"/>
      <w:divBdr>
        <w:top w:val="none" w:sz="0" w:space="0" w:color="auto"/>
        <w:left w:val="none" w:sz="0" w:space="0" w:color="auto"/>
        <w:bottom w:val="none" w:sz="0" w:space="0" w:color="auto"/>
        <w:right w:val="none" w:sz="0" w:space="0" w:color="auto"/>
      </w:divBdr>
      <w:divsChild>
        <w:div w:id="2112436278">
          <w:marLeft w:val="0"/>
          <w:marRight w:val="0"/>
          <w:marTop w:val="0"/>
          <w:marBottom w:val="0"/>
          <w:divBdr>
            <w:top w:val="none" w:sz="0" w:space="0" w:color="auto"/>
            <w:left w:val="none" w:sz="0" w:space="0" w:color="auto"/>
            <w:bottom w:val="none" w:sz="0" w:space="0" w:color="auto"/>
            <w:right w:val="none" w:sz="0" w:space="0" w:color="auto"/>
          </w:divBdr>
          <w:divsChild>
            <w:div w:id="781462004">
              <w:marLeft w:val="0"/>
              <w:marRight w:val="0"/>
              <w:marTop w:val="0"/>
              <w:marBottom w:val="0"/>
              <w:divBdr>
                <w:top w:val="none" w:sz="0" w:space="0" w:color="auto"/>
                <w:left w:val="none" w:sz="0" w:space="0" w:color="auto"/>
                <w:bottom w:val="none" w:sz="0" w:space="0" w:color="auto"/>
                <w:right w:val="none" w:sz="0" w:space="0" w:color="auto"/>
              </w:divBdr>
            </w:div>
          </w:divsChild>
        </w:div>
        <w:div w:id="1615552657">
          <w:marLeft w:val="75"/>
          <w:marRight w:val="75"/>
          <w:marTop w:val="0"/>
          <w:marBottom w:val="0"/>
          <w:divBdr>
            <w:top w:val="none" w:sz="0" w:space="0" w:color="auto"/>
            <w:left w:val="none" w:sz="0" w:space="0" w:color="auto"/>
            <w:bottom w:val="none" w:sz="0" w:space="0" w:color="auto"/>
            <w:right w:val="none" w:sz="0" w:space="0" w:color="auto"/>
          </w:divBdr>
        </w:div>
        <w:div w:id="903880724">
          <w:marLeft w:val="0"/>
          <w:marRight w:val="0"/>
          <w:marTop w:val="0"/>
          <w:marBottom w:val="0"/>
          <w:divBdr>
            <w:top w:val="none" w:sz="0" w:space="0" w:color="auto"/>
            <w:left w:val="none" w:sz="0" w:space="0" w:color="auto"/>
            <w:bottom w:val="none" w:sz="0" w:space="0" w:color="auto"/>
            <w:right w:val="none" w:sz="0" w:space="0" w:color="auto"/>
          </w:divBdr>
        </w:div>
      </w:divsChild>
    </w:div>
    <w:div w:id="639308067">
      <w:bodyDiv w:val="1"/>
      <w:marLeft w:val="0"/>
      <w:marRight w:val="0"/>
      <w:marTop w:val="0"/>
      <w:marBottom w:val="0"/>
      <w:divBdr>
        <w:top w:val="none" w:sz="0" w:space="0" w:color="auto"/>
        <w:left w:val="none" w:sz="0" w:space="0" w:color="auto"/>
        <w:bottom w:val="none" w:sz="0" w:space="0" w:color="auto"/>
        <w:right w:val="none" w:sz="0" w:space="0" w:color="auto"/>
      </w:divBdr>
    </w:div>
    <w:div w:id="644624725">
      <w:bodyDiv w:val="1"/>
      <w:marLeft w:val="0"/>
      <w:marRight w:val="0"/>
      <w:marTop w:val="0"/>
      <w:marBottom w:val="0"/>
      <w:divBdr>
        <w:top w:val="none" w:sz="0" w:space="0" w:color="auto"/>
        <w:left w:val="none" w:sz="0" w:space="0" w:color="auto"/>
        <w:bottom w:val="none" w:sz="0" w:space="0" w:color="auto"/>
        <w:right w:val="none" w:sz="0" w:space="0" w:color="auto"/>
      </w:divBdr>
    </w:div>
    <w:div w:id="647977141">
      <w:bodyDiv w:val="1"/>
      <w:marLeft w:val="0"/>
      <w:marRight w:val="0"/>
      <w:marTop w:val="0"/>
      <w:marBottom w:val="0"/>
      <w:divBdr>
        <w:top w:val="none" w:sz="0" w:space="0" w:color="auto"/>
        <w:left w:val="none" w:sz="0" w:space="0" w:color="auto"/>
        <w:bottom w:val="none" w:sz="0" w:space="0" w:color="auto"/>
        <w:right w:val="none" w:sz="0" w:space="0" w:color="auto"/>
      </w:divBdr>
    </w:div>
    <w:div w:id="653949371">
      <w:bodyDiv w:val="1"/>
      <w:marLeft w:val="0"/>
      <w:marRight w:val="0"/>
      <w:marTop w:val="0"/>
      <w:marBottom w:val="0"/>
      <w:divBdr>
        <w:top w:val="none" w:sz="0" w:space="0" w:color="auto"/>
        <w:left w:val="none" w:sz="0" w:space="0" w:color="auto"/>
        <w:bottom w:val="none" w:sz="0" w:space="0" w:color="auto"/>
        <w:right w:val="none" w:sz="0" w:space="0" w:color="auto"/>
      </w:divBdr>
    </w:div>
    <w:div w:id="678657413">
      <w:bodyDiv w:val="1"/>
      <w:marLeft w:val="0"/>
      <w:marRight w:val="0"/>
      <w:marTop w:val="0"/>
      <w:marBottom w:val="0"/>
      <w:divBdr>
        <w:top w:val="none" w:sz="0" w:space="0" w:color="auto"/>
        <w:left w:val="none" w:sz="0" w:space="0" w:color="auto"/>
        <w:bottom w:val="none" w:sz="0" w:space="0" w:color="auto"/>
        <w:right w:val="none" w:sz="0" w:space="0" w:color="auto"/>
      </w:divBdr>
      <w:divsChild>
        <w:div w:id="1953397863">
          <w:marLeft w:val="0"/>
          <w:marRight w:val="0"/>
          <w:marTop w:val="0"/>
          <w:marBottom w:val="0"/>
          <w:divBdr>
            <w:top w:val="none" w:sz="0" w:space="0" w:color="auto"/>
            <w:left w:val="none" w:sz="0" w:space="0" w:color="auto"/>
            <w:bottom w:val="none" w:sz="0" w:space="0" w:color="auto"/>
            <w:right w:val="none" w:sz="0" w:space="0" w:color="auto"/>
          </w:divBdr>
        </w:div>
        <w:div w:id="944849841">
          <w:marLeft w:val="0"/>
          <w:marRight w:val="0"/>
          <w:marTop w:val="0"/>
          <w:marBottom w:val="0"/>
          <w:divBdr>
            <w:top w:val="none" w:sz="0" w:space="0" w:color="auto"/>
            <w:left w:val="none" w:sz="0" w:space="0" w:color="auto"/>
            <w:bottom w:val="none" w:sz="0" w:space="0" w:color="auto"/>
            <w:right w:val="none" w:sz="0" w:space="0" w:color="auto"/>
          </w:divBdr>
        </w:div>
        <w:div w:id="1748530470">
          <w:marLeft w:val="0"/>
          <w:marRight w:val="0"/>
          <w:marTop w:val="0"/>
          <w:marBottom w:val="0"/>
          <w:divBdr>
            <w:top w:val="none" w:sz="0" w:space="0" w:color="auto"/>
            <w:left w:val="none" w:sz="0" w:space="0" w:color="auto"/>
            <w:bottom w:val="none" w:sz="0" w:space="0" w:color="auto"/>
            <w:right w:val="none" w:sz="0" w:space="0" w:color="auto"/>
          </w:divBdr>
        </w:div>
        <w:div w:id="1814523685">
          <w:marLeft w:val="0"/>
          <w:marRight w:val="0"/>
          <w:marTop w:val="0"/>
          <w:marBottom w:val="0"/>
          <w:divBdr>
            <w:top w:val="none" w:sz="0" w:space="0" w:color="auto"/>
            <w:left w:val="none" w:sz="0" w:space="0" w:color="auto"/>
            <w:bottom w:val="none" w:sz="0" w:space="0" w:color="auto"/>
            <w:right w:val="none" w:sz="0" w:space="0" w:color="auto"/>
          </w:divBdr>
        </w:div>
        <w:div w:id="239678797">
          <w:marLeft w:val="0"/>
          <w:marRight w:val="0"/>
          <w:marTop w:val="0"/>
          <w:marBottom w:val="0"/>
          <w:divBdr>
            <w:top w:val="none" w:sz="0" w:space="0" w:color="auto"/>
            <w:left w:val="none" w:sz="0" w:space="0" w:color="auto"/>
            <w:bottom w:val="none" w:sz="0" w:space="0" w:color="auto"/>
            <w:right w:val="none" w:sz="0" w:space="0" w:color="auto"/>
          </w:divBdr>
        </w:div>
        <w:div w:id="1391420582">
          <w:marLeft w:val="0"/>
          <w:marRight w:val="0"/>
          <w:marTop w:val="0"/>
          <w:marBottom w:val="0"/>
          <w:divBdr>
            <w:top w:val="none" w:sz="0" w:space="0" w:color="auto"/>
            <w:left w:val="none" w:sz="0" w:space="0" w:color="auto"/>
            <w:bottom w:val="none" w:sz="0" w:space="0" w:color="auto"/>
            <w:right w:val="none" w:sz="0" w:space="0" w:color="auto"/>
          </w:divBdr>
        </w:div>
        <w:div w:id="1217163709">
          <w:marLeft w:val="0"/>
          <w:marRight w:val="0"/>
          <w:marTop w:val="0"/>
          <w:marBottom w:val="0"/>
          <w:divBdr>
            <w:top w:val="none" w:sz="0" w:space="0" w:color="auto"/>
            <w:left w:val="none" w:sz="0" w:space="0" w:color="auto"/>
            <w:bottom w:val="none" w:sz="0" w:space="0" w:color="auto"/>
            <w:right w:val="none" w:sz="0" w:space="0" w:color="auto"/>
          </w:divBdr>
        </w:div>
        <w:div w:id="436295634">
          <w:marLeft w:val="0"/>
          <w:marRight w:val="0"/>
          <w:marTop w:val="0"/>
          <w:marBottom w:val="0"/>
          <w:divBdr>
            <w:top w:val="none" w:sz="0" w:space="0" w:color="auto"/>
            <w:left w:val="none" w:sz="0" w:space="0" w:color="auto"/>
            <w:bottom w:val="none" w:sz="0" w:space="0" w:color="auto"/>
            <w:right w:val="none" w:sz="0" w:space="0" w:color="auto"/>
          </w:divBdr>
        </w:div>
        <w:div w:id="714038895">
          <w:marLeft w:val="0"/>
          <w:marRight w:val="0"/>
          <w:marTop w:val="0"/>
          <w:marBottom w:val="0"/>
          <w:divBdr>
            <w:top w:val="none" w:sz="0" w:space="0" w:color="auto"/>
            <w:left w:val="none" w:sz="0" w:space="0" w:color="auto"/>
            <w:bottom w:val="none" w:sz="0" w:space="0" w:color="auto"/>
            <w:right w:val="none" w:sz="0" w:space="0" w:color="auto"/>
          </w:divBdr>
        </w:div>
        <w:div w:id="1748918297">
          <w:marLeft w:val="0"/>
          <w:marRight w:val="0"/>
          <w:marTop w:val="0"/>
          <w:marBottom w:val="0"/>
          <w:divBdr>
            <w:top w:val="none" w:sz="0" w:space="0" w:color="auto"/>
            <w:left w:val="none" w:sz="0" w:space="0" w:color="auto"/>
            <w:bottom w:val="none" w:sz="0" w:space="0" w:color="auto"/>
            <w:right w:val="none" w:sz="0" w:space="0" w:color="auto"/>
          </w:divBdr>
        </w:div>
        <w:div w:id="1055468861">
          <w:marLeft w:val="0"/>
          <w:marRight w:val="0"/>
          <w:marTop w:val="0"/>
          <w:marBottom w:val="0"/>
          <w:divBdr>
            <w:top w:val="none" w:sz="0" w:space="0" w:color="auto"/>
            <w:left w:val="none" w:sz="0" w:space="0" w:color="auto"/>
            <w:bottom w:val="none" w:sz="0" w:space="0" w:color="auto"/>
            <w:right w:val="none" w:sz="0" w:space="0" w:color="auto"/>
          </w:divBdr>
        </w:div>
        <w:div w:id="622661915">
          <w:marLeft w:val="0"/>
          <w:marRight w:val="0"/>
          <w:marTop w:val="0"/>
          <w:marBottom w:val="0"/>
          <w:divBdr>
            <w:top w:val="none" w:sz="0" w:space="0" w:color="auto"/>
            <w:left w:val="none" w:sz="0" w:space="0" w:color="auto"/>
            <w:bottom w:val="none" w:sz="0" w:space="0" w:color="auto"/>
            <w:right w:val="none" w:sz="0" w:space="0" w:color="auto"/>
          </w:divBdr>
        </w:div>
        <w:div w:id="1099526267">
          <w:marLeft w:val="0"/>
          <w:marRight w:val="0"/>
          <w:marTop w:val="0"/>
          <w:marBottom w:val="0"/>
          <w:divBdr>
            <w:top w:val="none" w:sz="0" w:space="0" w:color="auto"/>
            <w:left w:val="none" w:sz="0" w:space="0" w:color="auto"/>
            <w:bottom w:val="none" w:sz="0" w:space="0" w:color="auto"/>
            <w:right w:val="none" w:sz="0" w:space="0" w:color="auto"/>
          </w:divBdr>
        </w:div>
        <w:div w:id="1414281742">
          <w:marLeft w:val="0"/>
          <w:marRight w:val="0"/>
          <w:marTop w:val="0"/>
          <w:marBottom w:val="0"/>
          <w:divBdr>
            <w:top w:val="none" w:sz="0" w:space="0" w:color="auto"/>
            <w:left w:val="none" w:sz="0" w:space="0" w:color="auto"/>
            <w:bottom w:val="none" w:sz="0" w:space="0" w:color="auto"/>
            <w:right w:val="none" w:sz="0" w:space="0" w:color="auto"/>
          </w:divBdr>
        </w:div>
        <w:div w:id="1001278712">
          <w:marLeft w:val="0"/>
          <w:marRight w:val="0"/>
          <w:marTop w:val="0"/>
          <w:marBottom w:val="0"/>
          <w:divBdr>
            <w:top w:val="none" w:sz="0" w:space="0" w:color="auto"/>
            <w:left w:val="none" w:sz="0" w:space="0" w:color="auto"/>
            <w:bottom w:val="none" w:sz="0" w:space="0" w:color="auto"/>
            <w:right w:val="none" w:sz="0" w:space="0" w:color="auto"/>
          </w:divBdr>
        </w:div>
        <w:div w:id="1681853379">
          <w:marLeft w:val="0"/>
          <w:marRight w:val="0"/>
          <w:marTop w:val="0"/>
          <w:marBottom w:val="0"/>
          <w:divBdr>
            <w:top w:val="none" w:sz="0" w:space="0" w:color="auto"/>
            <w:left w:val="none" w:sz="0" w:space="0" w:color="auto"/>
            <w:bottom w:val="none" w:sz="0" w:space="0" w:color="auto"/>
            <w:right w:val="none" w:sz="0" w:space="0" w:color="auto"/>
          </w:divBdr>
        </w:div>
        <w:div w:id="1439451457">
          <w:marLeft w:val="0"/>
          <w:marRight w:val="0"/>
          <w:marTop w:val="0"/>
          <w:marBottom w:val="0"/>
          <w:divBdr>
            <w:top w:val="none" w:sz="0" w:space="0" w:color="auto"/>
            <w:left w:val="none" w:sz="0" w:space="0" w:color="auto"/>
            <w:bottom w:val="none" w:sz="0" w:space="0" w:color="auto"/>
            <w:right w:val="none" w:sz="0" w:space="0" w:color="auto"/>
          </w:divBdr>
        </w:div>
        <w:div w:id="1853647151">
          <w:marLeft w:val="0"/>
          <w:marRight w:val="0"/>
          <w:marTop w:val="0"/>
          <w:marBottom w:val="0"/>
          <w:divBdr>
            <w:top w:val="none" w:sz="0" w:space="0" w:color="auto"/>
            <w:left w:val="none" w:sz="0" w:space="0" w:color="auto"/>
            <w:bottom w:val="none" w:sz="0" w:space="0" w:color="auto"/>
            <w:right w:val="none" w:sz="0" w:space="0" w:color="auto"/>
          </w:divBdr>
        </w:div>
        <w:div w:id="1153374925">
          <w:marLeft w:val="0"/>
          <w:marRight w:val="0"/>
          <w:marTop w:val="0"/>
          <w:marBottom w:val="0"/>
          <w:divBdr>
            <w:top w:val="none" w:sz="0" w:space="0" w:color="auto"/>
            <w:left w:val="none" w:sz="0" w:space="0" w:color="auto"/>
            <w:bottom w:val="none" w:sz="0" w:space="0" w:color="auto"/>
            <w:right w:val="none" w:sz="0" w:space="0" w:color="auto"/>
          </w:divBdr>
        </w:div>
        <w:div w:id="1274048693">
          <w:marLeft w:val="0"/>
          <w:marRight w:val="0"/>
          <w:marTop w:val="0"/>
          <w:marBottom w:val="0"/>
          <w:divBdr>
            <w:top w:val="none" w:sz="0" w:space="0" w:color="auto"/>
            <w:left w:val="none" w:sz="0" w:space="0" w:color="auto"/>
            <w:bottom w:val="none" w:sz="0" w:space="0" w:color="auto"/>
            <w:right w:val="none" w:sz="0" w:space="0" w:color="auto"/>
          </w:divBdr>
        </w:div>
        <w:div w:id="199560456">
          <w:marLeft w:val="0"/>
          <w:marRight w:val="0"/>
          <w:marTop w:val="0"/>
          <w:marBottom w:val="0"/>
          <w:divBdr>
            <w:top w:val="none" w:sz="0" w:space="0" w:color="auto"/>
            <w:left w:val="none" w:sz="0" w:space="0" w:color="auto"/>
            <w:bottom w:val="none" w:sz="0" w:space="0" w:color="auto"/>
            <w:right w:val="none" w:sz="0" w:space="0" w:color="auto"/>
          </w:divBdr>
        </w:div>
        <w:div w:id="2062512005">
          <w:marLeft w:val="0"/>
          <w:marRight w:val="0"/>
          <w:marTop w:val="0"/>
          <w:marBottom w:val="0"/>
          <w:divBdr>
            <w:top w:val="none" w:sz="0" w:space="0" w:color="auto"/>
            <w:left w:val="none" w:sz="0" w:space="0" w:color="auto"/>
            <w:bottom w:val="none" w:sz="0" w:space="0" w:color="auto"/>
            <w:right w:val="none" w:sz="0" w:space="0" w:color="auto"/>
          </w:divBdr>
        </w:div>
        <w:div w:id="1947231002">
          <w:marLeft w:val="0"/>
          <w:marRight w:val="0"/>
          <w:marTop w:val="0"/>
          <w:marBottom w:val="0"/>
          <w:divBdr>
            <w:top w:val="none" w:sz="0" w:space="0" w:color="auto"/>
            <w:left w:val="none" w:sz="0" w:space="0" w:color="auto"/>
            <w:bottom w:val="none" w:sz="0" w:space="0" w:color="auto"/>
            <w:right w:val="none" w:sz="0" w:space="0" w:color="auto"/>
          </w:divBdr>
        </w:div>
        <w:div w:id="2117601682">
          <w:marLeft w:val="0"/>
          <w:marRight w:val="0"/>
          <w:marTop w:val="0"/>
          <w:marBottom w:val="0"/>
          <w:divBdr>
            <w:top w:val="none" w:sz="0" w:space="0" w:color="auto"/>
            <w:left w:val="none" w:sz="0" w:space="0" w:color="auto"/>
            <w:bottom w:val="none" w:sz="0" w:space="0" w:color="auto"/>
            <w:right w:val="none" w:sz="0" w:space="0" w:color="auto"/>
          </w:divBdr>
        </w:div>
      </w:divsChild>
    </w:div>
    <w:div w:id="710695304">
      <w:bodyDiv w:val="1"/>
      <w:marLeft w:val="0"/>
      <w:marRight w:val="0"/>
      <w:marTop w:val="0"/>
      <w:marBottom w:val="0"/>
      <w:divBdr>
        <w:top w:val="none" w:sz="0" w:space="0" w:color="auto"/>
        <w:left w:val="none" w:sz="0" w:space="0" w:color="auto"/>
        <w:bottom w:val="none" w:sz="0" w:space="0" w:color="auto"/>
        <w:right w:val="none" w:sz="0" w:space="0" w:color="auto"/>
      </w:divBdr>
      <w:divsChild>
        <w:div w:id="1383213644">
          <w:marLeft w:val="0"/>
          <w:marRight w:val="0"/>
          <w:marTop w:val="0"/>
          <w:marBottom w:val="0"/>
          <w:divBdr>
            <w:top w:val="none" w:sz="0" w:space="0" w:color="auto"/>
            <w:left w:val="none" w:sz="0" w:space="0" w:color="auto"/>
            <w:bottom w:val="none" w:sz="0" w:space="0" w:color="auto"/>
            <w:right w:val="none" w:sz="0" w:space="0" w:color="auto"/>
          </w:divBdr>
        </w:div>
        <w:div w:id="809056473">
          <w:marLeft w:val="0"/>
          <w:marRight w:val="0"/>
          <w:marTop w:val="0"/>
          <w:marBottom w:val="0"/>
          <w:divBdr>
            <w:top w:val="none" w:sz="0" w:space="0" w:color="auto"/>
            <w:left w:val="none" w:sz="0" w:space="0" w:color="auto"/>
            <w:bottom w:val="none" w:sz="0" w:space="0" w:color="auto"/>
            <w:right w:val="none" w:sz="0" w:space="0" w:color="auto"/>
          </w:divBdr>
        </w:div>
        <w:div w:id="1703937193">
          <w:marLeft w:val="0"/>
          <w:marRight w:val="0"/>
          <w:marTop w:val="0"/>
          <w:marBottom w:val="0"/>
          <w:divBdr>
            <w:top w:val="none" w:sz="0" w:space="0" w:color="auto"/>
            <w:left w:val="none" w:sz="0" w:space="0" w:color="auto"/>
            <w:bottom w:val="none" w:sz="0" w:space="0" w:color="auto"/>
            <w:right w:val="none" w:sz="0" w:space="0" w:color="auto"/>
          </w:divBdr>
        </w:div>
        <w:div w:id="1103262021">
          <w:marLeft w:val="0"/>
          <w:marRight w:val="0"/>
          <w:marTop w:val="0"/>
          <w:marBottom w:val="0"/>
          <w:divBdr>
            <w:top w:val="none" w:sz="0" w:space="0" w:color="auto"/>
            <w:left w:val="none" w:sz="0" w:space="0" w:color="auto"/>
            <w:bottom w:val="none" w:sz="0" w:space="0" w:color="auto"/>
            <w:right w:val="none" w:sz="0" w:space="0" w:color="auto"/>
          </w:divBdr>
        </w:div>
        <w:div w:id="2131706693">
          <w:marLeft w:val="0"/>
          <w:marRight w:val="0"/>
          <w:marTop w:val="0"/>
          <w:marBottom w:val="0"/>
          <w:divBdr>
            <w:top w:val="none" w:sz="0" w:space="0" w:color="auto"/>
            <w:left w:val="none" w:sz="0" w:space="0" w:color="auto"/>
            <w:bottom w:val="none" w:sz="0" w:space="0" w:color="auto"/>
            <w:right w:val="none" w:sz="0" w:space="0" w:color="auto"/>
          </w:divBdr>
        </w:div>
        <w:div w:id="1300107083">
          <w:marLeft w:val="0"/>
          <w:marRight w:val="0"/>
          <w:marTop w:val="0"/>
          <w:marBottom w:val="0"/>
          <w:divBdr>
            <w:top w:val="none" w:sz="0" w:space="0" w:color="auto"/>
            <w:left w:val="none" w:sz="0" w:space="0" w:color="auto"/>
            <w:bottom w:val="none" w:sz="0" w:space="0" w:color="auto"/>
            <w:right w:val="none" w:sz="0" w:space="0" w:color="auto"/>
          </w:divBdr>
        </w:div>
        <w:div w:id="1329020607">
          <w:marLeft w:val="0"/>
          <w:marRight w:val="0"/>
          <w:marTop w:val="0"/>
          <w:marBottom w:val="0"/>
          <w:divBdr>
            <w:top w:val="none" w:sz="0" w:space="0" w:color="auto"/>
            <w:left w:val="none" w:sz="0" w:space="0" w:color="auto"/>
            <w:bottom w:val="none" w:sz="0" w:space="0" w:color="auto"/>
            <w:right w:val="none" w:sz="0" w:space="0" w:color="auto"/>
          </w:divBdr>
        </w:div>
        <w:div w:id="860896041">
          <w:marLeft w:val="0"/>
          <w:marRight w:val="0"/>
          <w:marTop w:val="0"/>
          <w:marBottom w:val="0"/>
          <w:divBdr>
            <w:top w:val="none" w:sz="0" w:space="0" w:color="auto"/>
            <w:left w:val="none" w:sz="0" w:space="0" w:color="auto"/>
            <w:bottom w:val="none" w:sz="0" w:space="0" w:color="auto"/>
            <w:right w:val="none" w:sz="0" w:space="0" w:color="auto"/>
          </w:divBdr>
        </w:div>
        <w:div w:id="752359789">
          <w:marLeft w:val="0"/>
          <w:marRight w:val="0"/>
          <w:marTop w:val="0"/>
          <w:marBottom w:val="0"/>
          <w:divBdr>
            <w:top w:val="none" w:sz="0" w:space="0" w:color="auto"/>
            <w:left w:val="none" w:sz="0" w:space="0" w:color="auto"/>
            <w:bottom w:val="none" w:sz="0" w:space="0" w:color="auto"/>
            <w:right w:val="none" w:sz="0" w:space="0" w:color="auto"/>
          </w:divBdr>
        </w:div>
        <w:div w:id="1973752757">
          <w:marLeft w:val="0"/>
          <w:marRight w:val="0"/>
          <w:marTop w:val="0"/>
          <w:marBottom w:val="0"/>
          <w:divBdr>
            <w:top w:val="none" w:sz="0" w:space="0" w:color="auto"/>
            <w:left w:val="none" w:sz="0" w:space="0" w:color="auto"/>
            <w:bottom w:val="none" w:sz="0" w:space="0" w:color="auto"/>
            <w:right w:val="none" w:sz="0" w:space="0" w:color="auto"/>
          </w:divBdr>
        </w:div>
        <w:div w:id="560098885">
          <w:marLeft w:val="0"/>
          <w:marRight w:val="0"/>
          <w:marTop w:val="0"/>
          <w:marBottom w:val="0"/>
          <w:divBdr>
            <w:top w:val="none" w:sz="0" w:space="0" w:color="auto"/>
            <w:left w:val="none" w:sz="0" w:space="0" w:color="auto"/>
            <w:bottom w:val="none" w:sz="0" w:space="0" w:color="auto"/>
            <w:right w:val="none" w:sz="0" w:space="0" w:color="auto"/>
          </w:divBdr>
        </w:div>
        <w:div w:id="103154283">
          <w:marLeft w:val="0"/>
          <w:marRight w:val="0"/>
          <w:marTop w:val="0"/>
          <w:marBottom w:val="0"/>
          <w:divBdr>
            <w:top w:val="none" w:sz="0" w:space="0" w:color="auto"/>
            <w:left w:val="none" w:sz="0" w:space="0" w:color="auto"/>
            <w:bottom w:val="none" w:sz="0" w:space="0" w:color="auto"/>
            <w:right w:val="none" w:sz="0" w:space="0" w:color="auto"/>
          </w:divBdr>
        </w:div>
        <w:div w:id="977809004">
          <w:marLeft w:val="0"/>
          <w:marRight w:val="0"/>
          <w:marTop w:val="0"/>
          <w:marBottom w:val="0"/>
          <w:divBdr>
            <w:top w:val="none" w:sz="0" w:space="0" w:color="auto"/>
            <w:left w:val="none" w:sz="0" w:space="0" w:color="auto"/>
            <w:bottom w:val="none" w:sz="0" w:space="0" w:color="auto"/>
            <w:right w:val="none" w:sz="0" w:space="0" w:color="auto"/>
          </w:divBdr>
        </w:div>
        <w:div w:id="1820802591">
          <w:marLeft w:val="0"/>
          <w:marRight w:val="0"/>
          <w:marTop w:val="0"/>
          <w:marBottom w:val="0"/>
          <w:divBdr>
            <w:top w:val="none" w:sz="0" w:space="0" w:color="auto"/>
            <w:left w:val="none" w:sz="0" w:space="0" w:color="auto"/>
            <w:bottom w:val="none" w:sz="0" w:space="0" w:color="auto"/>
            <w:right w:val="none" w:sz="0" w:space="0" w:color="auto"/>
          </w:divBdr>
        </w:div>
        <w:div w:id="1479690847">
          <w:marLeft w:val="0"/>
          <w:marRight w:val="0"/>
          <w:marTop w:val="0"/>
          <w:marBottom w:val="0"/>
          <w:divBdr>
            <w:top w:val="none" w:sz="0" w:space="0" w:color="auto"/>
            <w:left w:val="none" w:sz="0" w:space="0" w:color="auto"/>
            <w:bottom w:val="none" w:sz="0" w:space="0" w:color="auto"/>
            <w:right w:val="none" w:sz="0" w:space="0" w:color="auto"/>
          </w:divBdr>
        </w:div>
        <w:div w:id="923762482">
          <w:marLeft w:val="0"/>
          <w:marRight w:val="0"/>
          <w:marTop w:val="0"/>
          <w:marBottom w:val="0"/>
          <w:divBdr>
            <w:top w:val="none" w:sz="0" w:space="0" w:color="auto"/>
            <w:left w:val="none" w:sz="0" w:space="0" w:color="auto"/>
            <w:bottom w:val="none" w:sz="0" w:space="0" w:color="auto"/>
            <w:right w:val="none" w:sz="0" w:space="0" w:color="auto"/>
          </w:divBdr>
        </w:div>
        <w:div w:id="1235428522">
          <w:marLeft w:val="0"/>
          <w:marRight w:val="0"/>
          <w:marTop w:val="0"/>
          <w:marBottom w:val="0"/>
          <w:divBdr>
            <w:top w:val="none" w:sz="0" w:space="0" w:color="auto"/>
            <w:left w:val="none" w:sz="0" w:space="0" w:color="auto"/>
            <w:bottom w:val="none" w:sz="0" w:space="0" w:color="auto"/>
            <w:right w:val="none" w:sz="0" w:space="0" w:color="auto"/>
          </w:divBdr>
        </w:div>
      </w:divsChild>
    </w:div>
    <w:div w:id="743841743">
      <w:bodyDiv w:val="1"/>
      <w:marLeft w:val="0"/>
      <w:marRight w:val="0"/>
      <w:marTop w:val="0"/>
      <w:marBottom w:val="0"/>
      <w:divBdr>
        <w:top w:val="none" w:sz="0" w:space="0" w:color="auto"/>
        <w:left w:val="none" w:sz="0" w:space="0" w:color="auto"/>
        <w:bottom w:val="none" w:sz="0" w:space="0" w:color="auto"/>
        <w:right w:val="none" w:sz="0" w:space="0" w:color="auto"/>
      </w:divBdr>
      <w:divsChild>
        <w:div w:id="1017004265">
          <w:marLeft w:val="0"/>
          <w:marRight w:val="0"/>
          <w:marTop w:val="0"/>
          <w:marBottom w:val="0"/>
          <w:divBdr>
            <w:top w:val="none" w:sz="0" w:space="0" w:color="auto"/>
            <w:left w:val="none" w:sz="0" w:space="0" w:color="auto"/>
            <w:bottom w:val="none" w:sz="0" w:space="0" w:color="auto"/>
            <w:right w:val="none" w:sz="0" w:space="0" w:color="auto"/>
          </w:divBdr>
        </w:div>
        <w:div w:id="1459225086">
          <w:marLeft w:val="0"/>
          <w:marRight w:val="0"/>
          <w:marTop w:val="0"/>
          <w:marBottom w:val="0"/>
          <w:divBdr>
            <w:top w:val="none" w:sz="0" w:space="0" w:color="auto"/>
            <w:left w:val="none" w:sz="0" w:space="0" w:color="auto"/>
            <w:bottom w:val="none" w:sz="0" w:space="0" w:color="auto"/>
            <w:right w:val="none" w:sz="0" w:space="0" w:color="auto"/>
          </w:divBdr>
        </w:div>
        <w:div w:id="94332347">
          <w:marLeft w:val="0"/>
          <w:marRight w:val="0"/>
          <w:marTop w:val="0"/>
          <w:marBottom w:val="0"/>
          <w:divBdr>
            <w:top w:val="none" w:sz="0" w:space="0" w:color="auto"/>
            <w:left w:val="none" w:sz="0" w:space="0" w:color="auto"/>
            <w:bottom w:val="none" w:sz="0" w:space="0" w:color="auto"/>
            <w:right w:val="none" w:sz="0" w:space="0" w:color="auto"/>
          </w:divBdr>
        </w:div>
        <w:div w:id="1646156271">
          <w:marLeft w:val="0"/>
          <w:marRight w:val="0"/>
          <w:marTop w:val="0"/>
          <w:marBottom w:val="0"/>
          <w:divBdr>
            <w:top w:val="none" w:sz="0" w:space="0" w:color="auto"/>
            <w:left w:val="none" w:sz="0" w:space="0" w:color="auto"/>
            <w:bottom w:val="none" w:sz="0" w:space="0" w:color="auto"/>
            <w:right w:val="none" w:sz="0" w:space="0" w:color="auto"/>
          </w:divBdr>
        </w:div>
        <w:div w:id="1528373731">
          <w:marLeft w:val="0"/>
          <w:marRight w:val="0"/>
          <w:marTop w:val="0"/>
          <w:marBottom w:val="0"/>
          <w:divBdr>
            <w:top w:val="none" w:sz="0" w:space="0" w:color="auto"/>
            <w:left w:val="none" w:sz="0" w:space="0" w:color="auto"/>
            <w:bottom w:val="none" w:sz="0" w:space="0" w:color="auto"/>
            <w:right w:val="none" w:sz="0" w:space="0" w:color="auto"/>
          </w:divBdr>
        </w:div>
        <w:div w:id="608971690">
          <w:marLeft w:val="0"/>
          <w:marRight w:val="0"/>
          <w:marTop w:val="0"/>
          <w:marBottom w:val="0"/>
          <w:divBdr>
            <w:top w:val="none" w:sz="0" w:space="0" w:color="auto"/>
            <w:left w:val="none" w:sz="0" w:space="0" w:color="auto"/>
            <w:bottom w:val="none" w:sz="0" w:space="0" w:color="auto"/>
            <w:right w:val="none" w:sz="0" w:space="0" w:color="auto"/>
          </w:divBdr>
        </w:div>
      </w:divsChild>
    </w:div>
    <w:div w:id="829177179">
      <w:bodyDiv w:val="1"/>
      <w:marLeft w:val="0"/>
      <w:marRight w:val="0"/>
      <w:marTop w:val="0"/>
      <w:marBottom w:val="0"/>
      <w:divBdr>
        <w:top w:val="none" w:sz="0" w:space="0" w:color="auto"/>
        <w:left w:val="none" w:sz="0" w:space="0" w:color="auto"/>
        <w:bottom w:val="none" w:sz="0" w:space="0" w:color="auto"/>
        <w:right w:val="none" w:sz="0" w:space="0" w:color="auto"/>
      </w:divBdr>
    </w:div>
    <w:div w:id="882139759">
      <w:bodyDiv w:val="1"/>
      <w:marLeft w:val="0"/>
      <w:marRight w:val="0"/>
      <w:marTop w:val="0"/>
      <w:marBottom w:val="0"/>
      <w:divBdr>
        <w:top w:val="none" w:sz="0" w:space="0" w:color="auto"/>
        <w:left w:val="none" w:sz="0" w:space="0" w:color="auto"/>
        <w:bottom w:val="none" w:sz="0" w:space="0" w:color="auto"/>
        <w:right w:val="none" w:sz="0" w:space="0" w:color="auto"/>
      </w:divBdr>
      <w:divsChild>
        <w:div w:id="1013146622">
          <w:marLeft w:val="0"/>
          <w:marRight w:val="0"/>
          <w:marTop w:val="0"/>
          <w:marBottom w:val="0"/>
          <w:divBdr>
            <w:top w:val="none" w:sz="0" w:space="0" w:color="auto"/>
            <w:left w:val="none" w:sz="0" w:space="0" w:color="auto"/>
            <w:bottom w:val="none" w:sz="0" w:space="0" w:color="auto"/>
            <w:right w:val="none" w:sz="0" w:space="0" w:color="auto"/>
          </w:divBdr>
        </w:div>
        <w:div w:id="909729792">
          <w:marLeft w:val="0"/>
          <w:marRight w:val="0"/>
          <w:marTop w:val="0"/>
          <w:marBottom w:val="0"/>
          <w:divBdr>
            <w:top w:val="none" w:sz="0" w:space="0" w:color="auto"/>
            <w:left w:val="none" w:sz="0" w:space="0" w:color="auto"/>
            <w:bottom w:val="none" w:sz="0" w:space="0" w:color="auto"/>
            <w:right w:val="none" w:sz="0" w:space="0" w:color="auto"/>
          </w:divBdr>
        </w:div>
        <w:div w:id="397679282">
          <w:marLeft w:val="0"/>
          <w:marRight w:val="0"/>
          <w:marTop w:val="0"/>
          <w:marBottom w:val="0"/>
          <w:divBdr>
            <w:top w:val="none" w:sz="0" w:space="0" w:color="auto"/>
            <w:left w:val="none" w:sz="0" w:space="0" w:color="auto"/>
            <w:bottom w:val="none" w:sz="0" w:space="0" w:color="auto"/>
            <w:right w:val="none" w:sz="0" w:space="0" w:color="auto"/>
          </w:divBdr>
        </w:div>
      </w:divsChild>
    </w:div>
    <w:div w:id="934091143">
      <w:bodyDiv w:val="1"/>
      <w:marLeft w:val="0"/>
      <w:marRight w:val="0"/>
      <w:marTop w:val="0"/>
      <w:marBottom w:val="0"/>
      <w:divBdr>
        <w:top w:val="none" w:sz="0" w:space="0" w:color="auto"/>
        <w:left w:val="none" w:sz="0" w:space="0" w:color="auto"/>
        <w:bottom w:val="none" w:sz="0" w:space="0" w:color="auto"/>
        <w:right w:val="none" w:sz="0" w:space="0" w:color="auto"/>
      </w:divBdr>
    </w:div>
    <w:div w:id="982009375">
      <w:bodyDiv w:val="1"/>
      <w:marLeft w:val="0"/>
      <w:marRight w:val="0"/>
      <w:marTop w:val="0"/>
      <w:marBottom w:val="0"/>
      <w:divBdr>
        <w:top w:val="none" w:sz="0" w:space="0" w:color="auto"/>
        <w:left w:val="none" w:sz="0" w:space="0" w:color="auto"/>
        <w:bottom w:val="none" w:sz="0" w:space="0" w:color="auto"/>
        <w:right w:val="none" w:sz="0" w:space="0" w:color="auto"/>
      </w:divBdr>
    </w:div>
    <w:div w:id="983969780">
      <w:bodyDiv w:val="1"/>
      <w:marLeft w:val="0"/>
      <w:marRight w:val="0"/>
      <w:marTop w:val="0"/>
      <w:marBottom w:val="0"/>
      <w:divBdr>
        <w:top w:val="none" w:sz="0" w:space="0" w:color="auto"/>
        <w:left w:val="none" w:sz="0" w:space="0" w:color="auto"/>
        <w:bottom w:val="none" w:sz="0" w:space="0" w:color="auto"/>
        <w:right w:val="none" w:sz="0" w:space="0" w:color="auto"/>
      </w:divBdr>
    </w:div>
    <w:div w:id="997072524">
      <w:bodyDiv w:val="1"/>
      <w:marLeft w:val="0"/>
      <w:marRight w:val="0"/>
      <w:marTop w:val="0"/>
      <w:marBottom w:val="0"/>
      <w:divBdr>
        <w:top w:val="none" w:sz="0" w:space="0" w:color="auto"/>
        <w:left w:val="none" w:sz="0" w:space="0" w:color="auto"/>
        <w:bottom w:val="none" w:sz="0" w:space="0" w:color="auto"/>
        <w:right w:val="none" w:sz="0" w:space="0" w:color="auto"/>
      </w:divBdr>
    </w:div>
    <w:div w:id="1059209036">
      <w:bodyDiv w:val="1"/>
      <w:marLeft w:val="0"/>
      <w:marRight w:val="0"/>
      <w:marTop w:val="0"/>
      <w:marBottom w:val="0"/>
      <w:divBdr>
        <w:top w:val="none" w:sz="0" w:space="0" w:color="auto"/>
        <w:left w:val="none" w:sz="0" w:space="0" w:color="auto"/>
        <w:bottom w:val="none" w:sz="0" w:space="0" w:color="auto"/>
        <w:right w:val="none" w:sz="0" w:space="0" w:color="auto"/>
      </w:divBdr>
      <w:divsChild>
        <w:div w:id="1143087017">
          <w:marLeft w:val="0"/>
          <w:marRight w:val="0"/>
          <w:marTop w:val="0"/>
          <w:marBottom w:val="0"/>
          <w:divBdr>
            <w:top w:val="none" w:sz="0" w:space="0" w:color="auto"/>
            <w:left w:val="none" w:sz="0" w:space="0" w:color="auto"/>
            <w:bottom w:val="none" w:sz="0" w:space="0" w:color="auto"/>
            <w:right w:val="none" w:sz="0" w:space="0" w:color="auto"/>
          </w:divBdr>
        </w:div>
        <w:div w:id="680396435">
          <w:marLeft w:val="0"/>
          <w:marRight w:val="0"/>
          <w:marTop w:val="0"/>
          <w:marBottom w:val="0"/>
          <w:divBdr>
            <w:top w:val="none" w:sz="0" w:space="0" w:color="auto"/>
            <w:left w:val="none" w:sz="0" w:space="0" w:color="auto"/>
            <w:bottom w:val="none" w:sz="0" w:space="0" w:color="auto"/>
            <w:right w:val="none" w:sz="0" w:space="0" w:color="auto"/>
          </w:divBdr>
        </w:div>
        <w:div w:id="1250845618">
          <w:marLeft w:val="0"/>
          <w:marRight w:val="0"/>
          <w:marTop w:val="0"/>
          <w:marBottom w:val="0"/>
          <w:divBdr>
            <w:top w:val="none" w:sz="0" w:space="0" w:color="auto"/>
            <w:left w:val="none" w:sz="0" w:space="0" w:color="auto"/>
            <w:bottom w:val="none" w:sz="0" w:space="0" w:color="auto"/>
            <w:right w:val="none" w:sz="0" w:space="0" w:color="auto"/>
          </w:divBdr>
        </w:div>
        <w:div w:id="1273198269">
          <w:marLeft w:val="0"/>
          <w:marRight w:val="0"/>
          <w:marTop w:val="0"/>
          <w:marBottom w:val="0"/>
          <w:divBdr>
            <w:top w:val="none" w:sz="0" w:space="0" w:color="auto"/>
            <w:left w:val="none" w:sz="0" w:space="0" w:color="auto"/>
            <w:bottom w:val="none" w:sz="0" w:space="0" w:color="auto"/>
            <w:right w:val="none" w:sz="0" w:space="0" w:color="auto"/>
          </w:divBdr>
        </w:div>
        <w:div w:id="1329289123">
          <w:marLeft w:val="0"/>
          <w:marRight w:val="0"/>
          <w:marTop w:val="0"/>
          <w:marBottom w:val="0"/>
          <w:divBdr>
            <w:top w:val="none" w:sz="0" w:space="0" w:color="auto"/>
            <w:left w:val="none" w:sz="0" w:space="0" w:color="auto"/>
            <w:bottom w:val="none" w:sz="0" w:space="0" w:color="auto"/>
            <w:right w:val="none" w:sz="0" w:space="0" w:color="auto"/>
          </w:divBdr>
        </w:div>
        <w:div w:id="983970811">
          <w:marLeft w:val="0"/>
          <w:marRight w:val="0"/>
          <w:marTop w:val="0"/>
          <w:marBottom w:val="0"/>
          <w:divBdr>
            <w:top w:val="none" w:sz="0" w:space="0" w:color="auto"/>
            <w:left w:val="none" w:sz="0" w:space="0" w:color="auto"/>
            <w:bottom w:val="none" w:sz="0" w:space="0" w:color="auto"/>
            <w:right w:val="none" w:sz="0" w:space="0" w:color="auto"/>
          </w:divBdr>
        </w:div>
        <w:div w:id="1184513824">
          <w:marLeft w:val="0"/>
          <w:marRight w:val="0"/>
          <w:marTop w:val="0"/>
          <w:marBottom w:val="0"/>
          <w:divBdr>
            <w:top w:val="none" w:sz="0" w:space="0" w:color="auto"/>
            <w:left w:val="none" w:sz="0" w:space="0" w:color="auto"/>
            <w:bottom w:val="none" w:sz="0" w:space="0" w:color="auto"/>
            <w:right w:val="none" w:sz="0" w:space="0" w:color="auto"/>
          </w:divBdr>
        </w:div>
      </w:divsChild>
    </w:div>
    <w:div w:id="1091926270">
      <w:bodyDiv w:val="1"/>
      <w:marLeft w:val="0"/>
      <w:marRight w:val="0"/>
      <w:marTop w:val="0"/>
      <w:marBottom w:val="0"/>
      <w:divBdr>
        <w:top w:val="none" w:sz="0" w:space="0" w:color="auto"/>
        <w:left w:val="none" w:sz="0" w:space="0" w:color="auto"/>
        <w:bottom w:val="none" w:sz="0" w:space="0" w:color="auto"/>
        <w:right w:val="none" w:sz="0" w:space="0" w:color="auto"/>
      </w:divBdr>
      <w:divsChild>
        <w:div w:id="182399740">
          <w:marLeft w:val="0"/>
          <w:marRight w:val="0"/>
          <w:marTop w:val="0"/>
          <w:marBottom w:val="0"/>
          <w:divBdr>
            <w:top w:val="none" w:sz="0" w:space="0" w:color="auto"/>
            <w:left w:val="none" w:sz="0" w:space="0" w:color="auto"/>
            <w:bottom w:val="none" w:sz="0" w:space="0" w:color="auto"/>
            <w:right w:val="none" w:sz="0" w:space="0" w:color="auto"/>
          </w:divBdr>
        </w:div>
        <w:div w:id="2029410964">
          <w:marLeft w:val="0"/>
          <w:marRight w:val="0"/>
          <w:marTop w:val="0"/>
          <w:marBottom w:val="0"/>
          <w:divBdr>
            <w:top w:val="none" w:sz="0" w:space="0" w:color="auto"/>
            <w:left w:val="none" w:sz="0" w:space="0" w:color="auto"/>
            <w:bottom w:val="none" w:sz="0" w:space="0" w:color="auto"/>
            <w:right w:val="none" w:sz="0" w:space="0" w:color="auto"/>
          </w:divBdr>
        </w:div>
        <w:div w:id="273756168">
          <w:marLeft w:val="0"/>
          <w:marRight w:val="0"/>
          <w:marTop w:val="0"/>
          <w:marBottom w:val="0"/>
          <w:divBdr>
            <w:top w:val="none" w:sz="0" w:space="0" w:color="auto"/>
            <w:left w:val="none" w:sz="0" w:space="0" w:color="auto"/>
            <w:bottom w:val="none" w:sz="0" w:space="0" w:color="auto"/>
            <w:right w:val="none" w:sz="0" w:space="0" w:color="auto"/>
          </w:divBdr>
        </w:div>
        <w:div w:id="1023359421">
          <w:marLeft w:val="0"/>
          <w:marRight w:val="0"/>
          <w:marTop w:val="0"/>
          <w:marBottom w:val="0"/>
          <w:divBdr>
            <w:top w:val="none" w:sz="0" w:space="0" w:color="auto"/>
            <w:left w:val="none" w:sz="0" w:space="0" w:color="auto"/>
            <w:bottom w:val="none" w:sz="0" w:space="0" w:color="auto"/>
            <w:right w:val="none" w:sz="0" w:space="0" w:color="auto"/>
          </w:divBdr>
        </w:div>
        <w:div w:id="869144516">
          <w:marLeft w:val="0"/>
          <w:marRight w:val="0"/>
          <w:marTop w:val="0"/>
          <w:marBottom w:val="0"/>
          <w:divBdr>
            <w:top w:val="none" w:sz="0" w:space="0" w:color="auto"/>
            <w:left w:val="none" w:sz="0" w:space="0" w:color="auto"/>
            <w:bottom w:val="none" w:sz="0" w:space="0" w:color="auto"/>
            <w:right w:val="none" w:sz="0" w:space="0" w:color="auto"/>
          </w:divBdr>
        </w:div>
        <w:div w:id="1351763792">
          <w:marLeft w:val="0"/>
          <w:marRight w:val="0"/>
          <w:marTop w:val="0"/>
          <w:marBottom w:val="0"/>
          <w:divBdr>
            <w:top w:val="none" w:sz="0" w:space="0" w:color="auto"/>
            <w:left w:val="none" w:sz="0" w:space="0" w:color="auto"/>
            <w:bottom w:val="none" w:sz="0" w:space="0" w:color="auto"/>
            <w:right w:val="none" w:sz="0" w:space="0" w:color="auto"/>
          </w:divBdr>
        </w:div>
        <w:div w:id="1930968096">
          <w:marLeft w:val="0"/>
          <w:marRight w:val="0"/>
          <w:marTop w:val="0"/>
          <w:marBottom w:val="0"/>
          <w:divBdr>
            <w:top w:val="none" w:sz="0" w:space="0" w:color="auto"/>
            <w:left w:val="none" w:sz="0" w:space="0" w:color="auto"/>
            <w:bottom w:val="none" w:sz="0" w:space="0" w:color="auto"/>
            <w:right w:val="none" w:sz="0" w:space="0" w:color="auto"/>
          </w:divBdr>
        </w:div>
      </w:divsChild>
    </w:div>
    <w:div w:id="1207109203">
      <w:bodyDiv w:val="1"/>
      <w:marLeft w:val="0"/>
      <w:marRight w:val="0"/>
      <w:marTop w:val="0"/>
      <w:marBottom w:val="0"/>
      <w:divBdr>
        <w:top w:val="none" w:sz="0" w:space="0" w:color="auto"/>
        <w:left w:val="none" w:sz="0" w:space="0" w:color="auto"/>
        <w:bottom w:val="none" w:sz="0" w:space="0" w:color="auto"/>
        <w:right w:val="none" w:sz="0" w:space="0" w:color="auto"/>
      </w:divBdr>
      <w:divsChild>
        <w:div w:id="1118721601">
          <w:marLeft w:val="0"/>
          <w:marRight w:val="0"/>
          <w:marTop w:val="0"/>
          <w:marBottom w:val="0"/>
          <w:divBdr>
            <w:top w:val="none" w:sz="0" w:space="0" w:color="auto"/>
            <w:left w:val="none" w:sz="0" w:space="0" w:color="auto"/>
            <w:bottom w:val="none" w:sz="0" w:space="0" w:color="auto"/>
            <w:right w:val="none" w:sz="0" w:space="0" w:color="auto"/>
          </w:divBdr>
        </w:div>
        <w:div w:id="223302307">
          <w:marLeft w:val="0"/>
          <w:marRight w:val="0"/>
          <w:marTop w:val="0"/>
          <w:marBottom w:val="0"/>
          <w:divBdr>
            <w:top w:val="none" w:sz="0" w:space="0" w:color="auto"/>
            <w:left w:val="none" w:sz="0" w:space="0" w:color="auto"/>
            <w:bottom w:val="none" w:sz="0" w:space="0" w:color="auto"/>
            <w:right w:val="none" w:sz="0" w:space="0" w:color="auto"/>
          </w:divBdr>
        </w:div>
        <w:div w:id="1751537267">
          <w:marLeft w:val="0"/>
          <w:marRight w:val="0"/>
          <w:marTop w:val="0"/>
          <w:marBottom w:val="0"/>
          <w:divBdr>
            <w:top w:val="none" w:sz="0" w:space="0" w:color="auto"/>
            <w:left w:val="none" w:sz="0" w:space="0" w:color="auto"/>
            <w:bottom w:val="none" w:sz="0" w:space="0" w:color="auto"/>
            <w:right w:val="none" w:sz="0" w:space="0" w:color="auto"/>
          </w:divBdr>
        </w:div>
        <w:div w:id="329061070">
          <w:marLeft w:val="0"/>
          <w:marRight w:val="0"/>
          <w:marTop w:val="0"/>
          <w:marBottom w:val="0"/>
          <w:divBdr>
            <w:top w:val="none" w:sz="0" w:space="0" w:color="auto"/>
            <w:left w:val="none" w:sz="0" w:space="0" w:color="auto"/>
            <w:bottom w:val="none" w:sz="0" w:space="0" w:color="auto"/>
            <w:right w:val="none" w:sz="0" w:space="0" w:color="auto"/>
          </w:divBdr>
        </w:div>
        <w:div w:id="1865245143">
          <w:marLeft w:val="0"/>
          <w:marRight w:val="0"/>
          <w:marTop w:val="0"/>
          <w:marBottom w:val="0"/>
          <w:divBdr>
            <w:top w:val="none" w:sz="0" w:space="0" w:color="auto"/>
            <w:left w:val="none" w:sz="0" w:space="0" w:color="auto"/>
            <w:bottom w:val="none" w:sz="0" w:space="0" w:color="auto"/>
            <w:right w:val="none" w:sz="0" w:space="0" w:color="auto"/>
          </w:divBdr>
        </w:div>
        <w:div w:id="712270879">
          <w:marLeft w:val="0"/>
          <w:marRight w:val="0"/>
          <w:marTop w:val="0"/>
          <w:marBottom w:val="0"/>
          <w:divBdr>
            <w:top w:val="none" w:sz="0" w:space="0" w:color="auto"/>
            <w:left w:val="none" w:sz="0" w:space="0" w:color="auto"/>
            <w:bottom w:val="none" w:sz="0" w:space="0" w:color="auto"/>
            <w:right w:val="none" w:sz="0" w:space="0" w:color="auto"/>
          </w:divBdr>
        </w:div>
        <w:div w:id="695274243">
          <w:marLeft w:val="0"/>
          <w:marRight w:val="0"/>
          <w:marTop w:val="0"/>
          <w:marBottom w:val="0"/>
          <w:divBdr>
            <w:top w:val="none" w:sz="0" w:space="0" w:color="auto"/>
            <w:left w:val="none" w:sz="0" w:space="0" w:color="auto"/>
            <w:bottom w:val="none" w:sz="0" w:space="0" w:color="auto"/>
            <w:right w:val="none" w:sz="0" w:space="0" w:color="auto"/>
          </w:divBdr>
        </w:div>
        <w:div w:id="1852137283">
          <w:marLeft w:val="0"/>
          <w:marRight w:val="0"/>
          <w:marTop w:val="0"/>
          <w:marBottom w:val="0"/>
          <w:divBdr>
            <w:top w:val="none" w:sz="0" w:space="0" w:color="auto"/>
            <w:left w:val="none" w:sz="0" w:space="0" w:color="auto"/>
            <w:bottom w:val="none" w:sz="0" w:space="0" w:color="auto"/>
            <w:right w:val="none" w:sz="0" w:space="0" w:color="auto"/>
          </w:divBdr>
        </w:div>
        <w:div w:id="976254566">
          <w:marLeft w:val="0"/>
          <w:marRight w:val="0"/>
          <w:marTop w:val="0"/>
          <w:marBottom w:val="0"/>
          <w:divBdr>
            <w:top w:val="none" w:sz="0" w:space="0" w:color="auto"/>
            <w:left w:val="none" w:sz="0" w:space="0" w:color="auto"/>
            <w:bottom w:val="none" w:sz="0" w:space="0" w:color="auto"/>
            <w:right w:val="none" w:sz="0" w:space="0" w:color="auto"/>
          </w:divBdr>
        </w:div>
      </w:divsChild>
    </w:div>
    <w:div w:id="1356081699">
      <w:bodyDiv w:val="1"/>
      <w:marLeft w:val="0"/>
      <w:marRight w:val="0"/>
      <w:marTop w:val="0"/>
      <w:marBottom w:val="0"/>
      <w:divBdr>
        <w:top w:val="none" w:sz="0" w:space="0" w:color="auto"/>
        <w:left w:val="none" w:sz="0" w:space="0" w:color="auto"/>
        <w:bottom w:val="none" w:sz="0" w:space="0" w:color="auto"/>
        <w:right w:val="none" w:sz="0" w:space="0" w:color="auto"/>
      </w:divBdr>
      <w:divsChild>
        <w:div w:id="1736586340">
          <w:marLeft w:val="0"/>
          <w:marRight w:val="0"/>
          <w:marTop w:val="0"/>
          <w:marBottom w:val="0"/>
          <w:divBdr>
            <w:top w:val="none" w:sz="0" w:space="0" w:color="auto"/>
            <w:left w:val="none" w:sz="0" w:space="0" w:color="auto"/>
            <w:bottom w:val="none" w:sz="0" w:space="0" w:color="auto"/>
            <w:right w:val="none" w:sz="0" w:space="0" w:color="auto"/>
          </w:divBdr>
          <w:divsChild>
            <w:div w:id="1480993614">
              <w:marLeft w:val="0"/>
              <w:marRight w:val="0"/>
              <w:marTop w:val="0"/>
              <w:marBottom w:val="0"/>
              <w:divBdr>
                <w:top w:val="none" w:sz="0" w:space="0" w:color="auto"/>
                <w:left w:val="none" w:sz="0" w:space="0" w:color="auto"/>
                <w:bottom w:val="none" w:sz="0" w:space="0" w:color="auto"/>
                <w:right w:val="none" w:sz="0" w:space="0" w:color="auto"/>
              </w:divBdr>
            </w:div>
          </w:divsChild>
        </w:div>
        <w:div w:id="591744671">
          <w:marLeft w:val="75"/>
          <w:marRight w:val="75"/>
          <w:marTop w:val="0"/>
          <w:marBottom w:val="0"/>
          <w:divBdr>
            <w:top w:val="none" w:sz="0" w:space="0" w:color="auto"/>
            <w:left w:val="none" w:sz="0" w:space="0" w:color="auto"/>
            <w:bottom w:val="none" w:sz="0" w:space="0" w:color="auto"/>
            <w:right w:val="none" w:sz="0" w:space="0" w:color="auto"/>
          </w:divBdr>
        </w:div>
        <w:div w:id="1036657225">
          <w:marLeft w:val="0"/>
          <w:marRight w:val="0"/>
          <w:marTop w:val="0"/>
          <w:marBottom w:val="0"/>
          <w:divBdr>
            <w:top w:val="none" w:sz="0" w:space="0" w:color="auto"/>
            <w:left w:val="none" w:sz="0" w:space="0" w:color="auto"/>
            <w:bottom w:val="none" w:sz="0" w:space="0" w:color="auto"/>
            <w:right w:val="none" w:sz="0" w:space="0" w:color="auto"/>
          </w:divBdr>
        </w:div>
      </w:divsChild>
    </w:div>
    <w:div w:id="1384869672">
      <w:bodyDiv w:val="1"/>
      <w:marLeft w:val="0"/>
      <w:marRight w:val="0"/>
      <w:marTop w:val="0"/>
      <w:marBottom w:val="0"/>
      <w:divBdr>
        <w:top w:val="none" w:sz="0" w:space="0" w:color="auto"/>
        <w:left w:val="none" w:sz="0" w:space="0" w:color="auto"/>
        <w:bottom w:val="none" w:sz="0" w:space="0" w:color="auto"/>
        <w:right w:val="none" w:sz="0" w:space="0" w:color="auto"/>
      </w:divBdr>
    </w:div>
    <w:div w:id="1420565514">
      <w:bodyDiv w:val="1"/>
      <w:marLeft w:val="0"/>
      <w:marRight w:val="0"/>
      <w:marTop w:val="0"/>
      <w:marBottom w:val="0"/>
      <w:divBdr>
        <w:top w:val="none" w:sz="0" w:space="0" w:color="auto"/>
        <w:left w:val="none" w:sz="0" w:space="0" w:color="auto"/>
        <w:bottom w:val="none" w:sz="0" w:space="0" w:color="auto"/>
        <w:right w:val="none" w:sz="0" w:space="0" w:color="auto"/>
      </w:divBdr>
    </w:div>
    <w:div w:id="1507088404">
      <w:bodyDiv w:val="1"/>
      <w:marLeft w:val="0"/>
      <w:marRight w:val="0"/>
      <w:marTop w:val="0"/>
      <w:marBottom w:val="0"/>
      <w:divBdr>
        <w:top w:val="none" w:sz="0" w:space="0" w:color="auto"/>
        <w:left w:val="none" w:sz="0" w:space="0" w:color="auto"/>
        <w:bottom w:val="none" w:sz="0" w:space="0" w:color="auto"/>
        <w:right w:val="none" w:sz="0" w:space="0" w:color="auto"/>
      </w:divBdr>
    </w:div>
    <w:div w:id="1640498079">
      <w:bodyDiv w:val="1"/>
      <w:marLeft w:val="0"/>
      <w:marRight w:val="0"/>
      <w:marTop w:val="0"/>
      <w:marBottom w:val="0"/>
      <w:divBdr>
        <w:top w:val="none" w:sz="0" w:space="0" w:color="auto"/>
        <w:left w:val="none" w:sz="0" w:space="0" w:color="auto"/>
        <w:bottom w:val="none" w:sz="0" w:space="0" w:color="auto"/>
        <w:right w:val="none" w:sz="0" w:space="0" w:color="auto"/>
      </w:divBdr>
    </w:div>
    <w:div w:id="1673292677">
      <w:bodyDiv w:val="1"/>
      <w:marLeft w:val="0"/>
      <w:marRight w:val="0"/>
      <w:marTop w:val="0"/>
      <w:marBottom w:val="0"/>
      <w:divBdr>
        <w:top w:val="none" w:sz="0" w:space="0" w:color="auto"/>
        <w:left w:val="none" w:sz="0" w:space="0" w:color="auto"/>
        <w:bottom w:val="none" w:sz="0" w:space="0" w:color="auto"/>
        <w:right w:val="none" w:sz="0" w:space="0" w:color="auto"/>
      </w:divBdr>
      <w:divsChild>
        <w:div w:id="2074810816">
          <w:marLeft w:val="0"/>
          <w:marRight w:val="0"/>
          <w:marTop w:val="0"/>
          <w:marBottom w:val="0"/>
          <w:divBdr>
            <w:top w:val="none" w:sz="0" w:space="0" w:color="auto"/>
            <w:left w:val="none" w:sz="0" w:space="0" w:color="auto"/>
            <w:bottom w:val="none" w:sz="0" w:space="0" w:color="auto"/>
            <w:right w:val="none" w:sz="0" w:space="0" w:color="auto"/>
          </w:divBdr>
        </w:div>
      </w:divsChild>
    </w:div>
    <w:div w:id="1687824799">
      <w:bodyDiv w:val="1"/>
      <w:marLeft w:val="0"/>
      <w:marRight w:val="0"/>
      <w:marTop w:val="0"/>
      <w:marBottom w:val="0"/>
      <w:divBdr>
        <w:top w:val="none" w:sz="0" w:space="0" w:color="auto"/>
        <w:left w:val="none" w:sz="0" w:space="0" w:color="auto"/>
        <w:bottom w:val="none" w:sz="0" w:space="0" w:color="auto"/>
        <w:right w:val="none" w:sz="0" w:space="0" w:color="auto"/>
      </w:divBdr>
      <w:divsChild>
        <w:div w:id="842865681">
          <w:marLeft w:val="0"/>
          <w:marRight w:val="0"/>
          <w:marTop w:val="0"/>
          <w:marBottom w:val="0"/>
          <w:divBdr>
            <w:top w:val="none" w:sz="0" w:space="0" w:color="auto"/>
            <w:left w:val="none" w:sz="0" w:space="0" w:color="auto"/>
            <w:bottom w:val="none" w:sz="0" w:space="0" w:color="auto"/>
            <w:right w:val="none" w:sz="0" w:space="0" w:color="auto"/>
          </w:divBdr>
        </w:div>
        <w:div w:id="1026633443">
          <w:marLeft w:val="0"/>
          <w:marRight w:val="0"/>
          <w:marTop w:val="0"/>
          <w:marBottom w:val="0"/>
          <w:divBdr>
            <w:top w:val="none" w:sz="0" w:space="0" w:color="auto"/>
            <w:left w:val="none" w:sz="0" w:space="0" w:color="auto"/>
            <w:bottom w:val="none" w:sz="0" w:space="0" w:color="auto"/>
            <w:right w:val="none" w:sz="0" w:space="0" w:color="auto"/>
          </w:divBdr>
        </w:div>
        <w:div w:id="1335574803">
          <w:marLeft w:val="0"/>
          <w:marRight w:val="0"/>
          <w:marTop w:val="0"/>
          <w:marBottom w:val="0"/>
          <w:divBdr>
            <w:top w:val="none" w:sz="0" w:space="0" w:color="auto"/>
            <w:left w:val="none" w:sz="0" w:space="0" w:color="auto"/>
            <w:bottom w:val="none" w:sz="0" w:space="0" w:color="auto"/>
            <w:right w:val="none" w:sz="0" w:space="0" w:color="auto"/>
          </w:divBdr>
        </w:div>
        <w:div w:id="279343793">
          <w:marLeft w:val="0"/>
          <w:marRight w:val="0"/>
          <w:marTop w:val="0"/>
          <w:marBottom w:val="0"/>
          <w:divBdr>
            <w:top w:val="none" w:sz="0" w:space="0" w:color="auto"/>
            <w:left w:val="none" w:sz="0" w:space="0" w:color="auto"/>
            <w:bottom w:val="none" w:sz="0" w:space="0" w:color="auto"/>
            <w:right w:val="none" w:sz="0" w:space="0" w:color="auto"/>
          </w:divBdr>
        </w:div>
        <w:div w:id="654258628">
          <w:marLeft w:val="0"/>
          <w:marRight w:val="0"/>
          <w:marTop w:val="0"/>
          <w:marBottom w:val="0"/>
          <w:divBdr>
            <w:top w:val="none" w:sz="0" w:space="0" w:color="auto"/>
            <w:left w:val="none" w:sz="0" w:space="0" w:color="auto"/>
            <w:bottom w:val="none" w:sz="0" w:space="0" w:color="auto"/>
            <w:right w:val="none" w:sz="0" w:space="0" w:color="auto"/>
          </w:divBdr>
        </w:div>
        <w:div w:id="1150948827">
          <w:marLeft w:val="0"/>
          <w:marRight w:val="0"/>
          <w:marTop w:val="0"/>
          <w:marBottom w:val="0"/>
          <w:divBdr>
            <w:top w:val="none" w:sz="0" w:space="0" w:color="auto"/>
            <w:left w:val="none" w:sz="0" w:space="0" w:color="auto"/>
            <w:bottom w:val="none" w:sz="0" w:space="0" w:color="auto"/>
            <w:right w:val="none" w:sz="0" w:space="0" w:color="auto"/>
          </w:divBdr>
        </w:div>
        <w:div w:id="1989939432">
          <w:marLeft w:val="0"/>
          <w:marRight w:val="0"/>
          <w:marTop w:val="0"/>
          <w:marBottom w:val="0"/>
          <w:divBdr>
            <w:top w:val="none" w:sz="0" w:space="0" w:color="auto"/>
            <w:left w:val="none" w:sz="0" w:space="0" w:color="auto"/>
            <w:bottom w:val="none" w:sz="0" w:space="0" w:color="auto"/>
            <w:right w:val="none" w:sz="0" w:space="0" w:color="auto"/>
          </w:divBdr>
        </w:div>
        <w:div w:id="578833409">
          <w:marLeft w:val="0"/>
          <w:marRight w:val="0"/>
          <w:marTop w:val="0"/>
          <w:marBottom w:val="0"/>
          <w:divBdr>
            <w:top w:val="none" w:sz="0" w:space="0" w:color="auto"/>
            <w:left w:val="none" w:sz="0" w:space="0" w:color="auto"/>
            <w:bottom w:val="none" w:sz="0" w:space="0" w:color="auto"/>
            <w:right w:val="none" w:sz="0" w:space="0" w:color="auto"/>
          </w:divBdr>
        </w:div>
      </w:divsChild>
    </w:div>
    <w:div w:id="1694653515">
      <w:bodyDiv w:val="1"/>
      <w:marLeft w:val="0"/>
      <w:marRight w:val="0"/>
      <w:marTop w:val="0"/>
      <w:marBottom w:val="0"/>
      <w:divBdr>
        <w:top w:val="none" w:sz="0" w:space="0" w:color="auto"/>
        <w:left w:val="none" w:sz="0" w:space="0" w:color="auto"/>
        <w:bottom w:val="none" w:sz="0" w:space="0" w:color="auto"/>
        <w:right w:val="none" w:sz="0" w:space="0" w:color="auto"/>
      </w:divBdr>
      <w:divsChild>
        <w:div w:id="2087872585">
          <w:marLeft w:val="0"/>
          <w:marRight w:val="0"/>
          <w:marTop w:val="0"/>
          <w:marBottom w:val="0"/>
          <w:divBdr>
            <w:top w:val="none" w:sz="0" w:space="0" w:color="auto"/>
            <w:left w:val="none" w:sz="0" w:space="0" w:color="auto"/>
            <w:bottom w:val="none" w:sz="0" w:space="0" w:color="auto"/>
            <w:right w:val="none" w:sz="0" w:space="0" w:color="auto"/>
          </w:divBdr>
        </w:div>
        <w:div w:id="1866555763">
          <w:marLeft w:val="0"/>
          <w:marRight w:val="0"/>
          <w:marTop w:val="0"/>
          <w:marBottom w:val="0"/>
          <w:divBdr>
            <w:top w:val="none" w:sz="0" w:space="0" w:color="auto"/>
            <w:left w:val="none" w:sz="0" w:space="0" w:color="auto"/>
            <w:bottom w:val="none" w:sz="0" w:space="0" w:color="auto"/>
            <w:right w:val="none" w:sz="0" w:space="0" w:color="auto"/>
          </w:divBdr>
        </w:div>
        <w:div w:id="213087096">
          <w:marLeft w:val="0"/>
          <w:marRight w:val="0"/>
          <w:marTop w:val="0"/>
          <w:marBottom w:val="0"/>
          <w:divBdr>
            <w:top w:val="none" w:sz="0" w:space="0" w:color="auto"/>
            <w:left w:val="none" w:sz="0" w:space="0" w:color="auto"/>
            <w:bottom w:val="none" w:sz="0" w:space="0" w:color="auto"/>
            <w:right w:val="none" w:sz="0" w:space="0" w:color="auto"/>
          </w:divBdr>
        </w:div>
      </w:divsChild>
    </w:div>
    <w:div w:id="1715160020">
      <w:bodyDiv w:val="1"/>
      <w:marLeft w:val="0"/>
      <w:marRight w:val="0"/>
      <w:marTop w:val="0"/>
      <w:marBottom w:val="0"/>
      <w:divBdr>
        <w:top w:val="none" w:sz="0" w:space="0" w:color="auto"/>
        <w:left w:val="none" w:sz="0" w:space="0" w:color="auto"/>
        <w:bottom w:val="none" w:sz="0" w:space="0" w:color="auto"/>
        <w:right w:val="none" w:sz="0" w:space="0" w:color="auto"/>
      </w:divBdr>
    </w:div>
    <w:div w:id="1725563481">
      <w:bodyDiv w:val="1"/>
      <w:marLeft w:val="0"/>
      <w:marRight w:val="0"/>
      <w:marTop w:val="0"/>
      <w:marBottom w:val="0"/>
      <w:divBdr>
        <w:top w:val="none" w:sz="0" w:space="0" w:color="auto"/>
        <w:left w:val="none" w:sz="0" w:space="0" w:color="auto"/>
        <w:bottom w:val="none" w:sz="0" w:space="0" w:color="auto"/>
        <w:right w:val="none" w:sz="0" w:space="0" w:color="auto"/>
      </w:divBdr>
    </w:div>
    <w:div w:id="1729497790">
      <w:bodyDiv w:val="1"/>
      <w:marLeft w:val="0"/>
      <w:marRight w:val="0"/>
      <w:marTop w:val="0"/>
      <w:marBottom w:val="0"/>
      <w:divBdr>
        <w:top w:val="none" w:sz="0" w:space="0" w:color="auto"/>
        <w:left w:val="none" w:sz="0" w:space="0" w:color="auto"/>
        <w:bottom w:val="none" w:sz="0" w:space="0" w:color="auto"/>
        <w:right w:val="none" w:sz="0" w:space="0" w:color="auto"/>
      </w:divBdr>
    </w:div>
    <w:div w:id="1748384057">
      <w:bodyDiv w:val="1"/>
      <w:marLeft w:val="0"/>
      <w:marRight w:val="0"/>
      <w:marTop w:val="0"/>
      <w:marBottom w:val="0"/>
      <w:divBdr>
        <w:top w:val="none" w:sz="0" w:space="0" w:color="auto"/>
        <w:left w:val="none" w:sz="0" w:space="0" w:color="auto"/>
        <w:bottom w:val="none" w:sz="0" w:space="0" w:color="auto"/>
        <w:right w:val="none" w:sz="0" w:space="0" w:color="auto"/>
      </w:divBdr>
    </w:div>
    <w:div w:id="1877042772">
      <w:bodyDiv w:val="1"/>
      <w:marLeft w:val="0"/>
      <w:marRight w:val="0"/>
      <w:marTop w:val="0"/>
      <w:marBottom w:val="0"/>
      <w:divBdr>
        <w:top w:val="none" w:sz="0" w:space="0" w:color="auto"/>
        <w:left w:val="none" w:sz="0" w:space="0" w:color="auto"/>
        <w:bottom w:val="none" w:sz="0" w:space="0" w:color="auto"/>
        <w:right w:val="none" w:sz="0" w:space="0" w:color="auto"/>
      </w:divBdr>
    </w:div>
    <w:div w:id="1925339205">
      <w:bodyDiv w:val="1"/>
      <w:marLeft w:val="0"/>
      <w:marRight w:val="0"/>
      <w:marTop w:val="0"/>
      <w:marBottom w:val="0"/>
      <w:divBdr>
        <w:top w:val="none" w:sz="0" w:space="0" w:color="auto"/>
        <w:left w:val="none" w:sz="0" w:space="0" w:color="auto"/>
        <w:bottom w:val="none" w:sz="0" w:space="0" w:color="auto"/>
        <w:right w:val="none" w:sz="0" w:space="0" w:color="auto"/>
      </w:divBdr>
    </w:div>
    <w:div w:id="1930262667">
      <w:bodyDiv w:val="1"/>
      <w:marLeft w:val="0"/>
      <w:marRight w:val="0"/>
      <w:marTop w:val="0"/>
      <w:marBottom w:val="0"/>
      <w:divBdr>
        <w:top w:val="none" w:sz="0" w:space="0" w:color="auto"/>
        <w:left w:val="none" w:sz="0" w:space="0" w:color="auto"/>
        <w:bottom w:val="none" w:sz="0" w:space="0" w:color="auto"/>
        <w:right w:val="none" w:sz="0" w:space="0" w:color="auto"/>
      </w:divBdr>
    </w:div>
    <w:div w:id="1944337868">
      <w:bodyDiv w:val="1"/>
      <w:marLeft w:val="0"/>
      <w:marRight w:val="0"/>
      <w:marTop w:val="0"/>
      <w:marBottom w:val="0"/>
      <w:divBdr>
        <w:top w:val="none" w:sz="0" w:space="0" w:color="auto"/>
        <w:left w:val="none" w:sz="0" w:space="0" w:color="auto"/>
        <w:bottom w:val="none" w:sz="0" w:space="0" w:color="auto"/>
        <w:right w:val="none" w:sz="0" w:space="0" w:color="auto"/>
      </w:divBdr>
      <w:divsChild>
        <w:div w:id="1486511133">
          <w:marLeft w:val="0"/>
          <w:marRight w:val="0"/>
          <w:marTop w:val="0"/>
          <w:marBottom w:val="0"/>
          <w:divBdr>
            <w:top w:val="none" w:sz="0" w:space="0" w:color="auto"/>
            <w:left w:val="none" w:sz="0" w:space="0" w:color="auto"/>
            <w:bottom w:val="none" w:sz="0" w:space="0" w:color="auto"/>
            <w:right w:val="none" w:sz="0" w:space="0" w:color="auto"/>
          </w:divBdr>
        </w:div>
        <w:div w:id="1540704296">
          <w:marLeft w:val="0"/>
          <w:marRight w:val="0"/>
          <w:marTop w:val="0"/>
          <w:marBottom w:val="0"/>
          <w:divBdr>
            <w:top w:val="none" w:sz="0" w:space="0" w:color="auto"/>
            <w:left w:val="none" w:sz="0" w:space="0" w:color="auto"/>
            <w:bottom w:val="none" w:sz="0" w:space="0" w:color="auto"/>
            <w:right w:val="none" w:sz="0" w:space="0" w:color="auto"/>
          </w:divBdr>
        </w:div>
        <w:div w:id="947196790">
          <w:marLeft w:val="0"/>
          <w:marRight w:val="0"/>
          <w:marTop w:val="0"/>
          <w:marBottom w:val="0"/>
          <w:divBdr>
            <w:top w:val="none" w:sz="0" w:space="0" w:color="auto"/>
            <w:left w:val="none" w:sz="0" w:space="0" w:color="auto"/>
            <w:bottom w:val="none" w:sz="0" w:space="0" w:color="auto"/>
            <w:right w:val="none" w:sz="0" w:space="0" w:color="auto"/>
          </w:divBdr>
        </w:div>
        <w:div w:id="796486477">
          <w:marLeft w:val="0"/>
          <w:marRight w:val="0"/>
          <w:marTop w:val="0"/>
          <w:marBottom w:val="0"/>
          <w:divBdr>
            <w:top w:val="none" w:sz="0" w:space="0" w:color="auto"/>
            <w:left w:val="none" w:sz="0" w:space="0" w:color="auto"/>
            <w:bottom w:val="none" w:sz="0" w:space="0" w:color="auto"/>
            <w:right w:val="none" w:sz="0" w:space="0" w:color="auto"/>
          </w:divBdr>
        </w:div>
        <w:div w:id="230429788">
          <w:marLeft w:val="0"/>
          <w:marRight w:val="0"/>
          <w:marTop w:val="0"/>
          <w:marBottom w:val="0"/>
          <w:divBdr>
            <w:top w:val="none" w:sz="0" w:space="0" w:color="auto"/>
            <w:left w:val="none" w:sz="0" w:space="0" w:color="auto"/>
            <w:bottom w:val="none" w:sz="0" w:space="0" w:color="auto"/>
            <w:right w:val="none" w:sz="0" w:space="0" w:color="auto"/>
          </w:divBdr>
        </w:div>
        <w:div w:id="607202923">
          <w:marLeft w:val="0"/>
          <w:marRight w:val="0"/>
          <w:marTop w:val="0"/>
          <w:marBottom w:val="0"/>
          <w:divBdr>
            <w:top w:val="none" w:sz="0" w:space="0" w:color="auto"/>
            <w:left w:val="none" w:sz="0" w:space="0" w:color="auto"/>
            <w:bottom w:val="none" w:sz="0" w:space="0" w:color="auto"/>
            <w:right w:val="none" w:sz="0" w:space="0" w:color="auto"/>
          </w:divBdr>
        </w:div>
        <w:div w:id="1282492210">
          <w:marLeft w:val="0"/>
          <w:marRight w:val="0"/>
          <w:marTop w:val="0"/>
          <w:marBottom w:val="0"/>
          <w:divBdr>
            <w:top w:val="none" w:sz="0" w:space="0" w:color="auto"/>
            <w:left w:val="none" w:sz="0" w:space="0" w:color="auto"/>
            <w:bottom w:val="none" w:sz="0" w:space="0" w:color="auto"/>
            <w:right w:val="none" w:sz="0" w:space="0" w:color="auto"/>
          </w:divBdr>
        </w:div>
      </w:divsChild>
    </w:div>
    <w:div w:id="2017339046">
      <w:bodyDiv w:val="1"/>
      <w:marLeft w:val="0"/>
      <w:marRight w:val="0"/>
      <w:marTop w:val="0"/>
      <w:marBottom w:val="0"/>
      <w:divBdr>
        <w:top w:val="none" w:sz="0" w:space="0" w:color="auto"/>
        <w:left w:val="none" w:sz="0" w:space="0" w:color="auto"/>
        <w:bottom w:val="none" w:sz="0" w:space="0" w:color="auto"/>
        <w:right w:val="none" w:sz="0" w:space="0" w:color="auto"/>
      </w:divBdr>
    </w:div>
    <w:div w:id="2097439692">
      <w:bodyDiv w:val="1"/>
      <w:marLeft w:val="0"/>
      <w:marRight w:val="0"/>
      <w:marTop w:val="0"/>
      <w:marBottom w:val="0"/>
      <w:divBdr>
        <w:top w:val="none" w:sz="0" w:space="0" w:color="auto"/>
        <w:left w:val="none" w:sz="0" w:space="0" w:color="auto"/>
        <w:bottom w:val="none" w:sz="0" w:space="0" w:color="auto"/>
        <w:right w:val="none" w:sz="0" w:space="0" w:color="auto"/>
      </w:divBdr>
      <w:divsChild>
        <w:div w:id="724598050">
          <w:marLeft w:val="0"/>
          <w:marRight w:val="0"/>
          <w:marTop w:val="0"/>
          <w:marBottom w:val="0"/>
          <w:divBdr>
            <w:top w:val="none" w:sz="0" w:space="0" w:color="auto"/>
            <w:left w:val="none" w:sz="0" w:space="0" w:color="auto"/>
            <w:bottom w:val="none" w:sz="0" w:space="0" w:color="auto"/>
            <w:right w:val="none" w:sz="0" w:space="0" w:color="auto"/>
          </w:divBdr>
        </w:div>
        <w:div w:id="570849663">
          <w:marLeft w:val="0"/>
          <w:marRight w:val="0"/>
          <w:marTop w:val="0"/>
          <w:marBottom w:val="0"/>
          <w:divBdr>
            <w:top w:val="none" w:sz="0" w:space="0" w:color="auto"/>
            <w:left w:val="none" w:sz="0" w:space="0" w:color="auto"/>
            <w:bottom w:val="none" w:sz="0" w:space="0" w:color="auto"/>
            <w:right w:val="none" w:sz="0" w:space="0" w:color="auto"/>
          </w:divBdr>
        </w:div>
        <w:div w:id="997146661">
          <w:marLeft w:val="0"/>
          <w:marRight w:val="0"/>
          <w:marTop w:val="0"/>
          <w:marBottom w:val="0"/>
          <w:divBdr>
            <w:top w:val="none" w:sz="0" w:space="0" w:color="auto"/>
            <w:left w:val="none" w:sz="0" w:space="0" w:color="auto"/>
            <w:bottom w:val="none" w:sz="0" w:space="0" w:color="auto"/>
            <w:right w:val="none" w:sz="0" w:space="0" w:color="auto"/>
          </w:divBdr>
        </w:div>
        <w:div w:id="1843469424">
          <w:marLeft w:val="0"/>
          <w:marRight w:val="0"/>
          <w:marTop w:val="0"/>
          <w:marBottom w:val="0"/>
          <w:divBdr>
            <w:top w:val="none" w:sz="0" w:space="0" w:color="auto"/>
            <w:left w:val="none" w:sz="0" w:space="0" w:color="auto"/>
            <w:bottom w:val="none" w:sz="0" w:space="0" w:color="auto"/>
            <w:right w:val="none" w:sz="0" w:space="0" w:color="auto"/>
          </w:divBdr>
        </w:div>
        <w:div w:id="2052411766">
          <w:marLeft w:val="0"/>
          <w:marRight w:val="0"/>
          <w:marTop w:val="0"/>
          <w:marBottom w:val="0"/>
          <w:divBdr>
            <w:top w:val="none" w:sz="0" w:space="0" w:color="auto"/>
            <w:left w:val="none" w:sz="0" w:space="0" w:color="auto"/>
            <w:bottom w:val="none" w:sz="0" w:space="0" w:color="auto"/>
            <w:right w:val="none" w:sz="0" w:space="0" w:color="auto"/>
          </w:divBdr>
        </w:div>
        <w:div w:id="785350083">
          <w:marLeft w:val="0"/>
          <w:marRight w:val="0"/>
          <w:marTop w:val="0"/>
          <w:marBottom w:val="0"/>
          <w:divBdr>
            <w:top w:val="none" w:sz="0" w:space="0" w:color="auto"/>
            <w:left w:val="none" w:sz="0" w:space="0" w:color="auto"/>
            <w:bottom w:val="none" w:sz="0" w:space="0" w:color="auto"/>
            <w:right w:val="none" w:sz="0" w:space="0" w:color="auto"/>
          </w:divBdr>
        </w:div>
        <w:div w:id="11833938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maps.biodiversityireland.ie/"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mailto:info@nmecology.com"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Jy 22, 2013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DDCBE47-2DD6-4F8A-A6C3-79753CFED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2346</TotalTime>
  <Pages>10</Pages>
  <Words>2523</Words>
  <Characters>14385</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Screening for Appropriate Assessment</vt:lpstr>
    </vt:vector>
  </TitlesOfParts>
  <Company>Fee Proposal:</Company>
  <LinksUpToDate>false</LinksUpToDate>
  <CharactersWithSpaces>16875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Screening for Appropriate Assessment</dc:title>
  <dc:creator>Nick Marchant</dc:creator>
  <cp:lastModifiedBy>NM Ecology</cp:lastModifiedBy>
  <cp:revision>786</cp:revision>
  <cp:lastPrinted>2023-09-13T09:06:00Z</cp:lastPrinted>
  <dcterms:created xsi:type="dcterms:W3CDTF">2022-04-01T11:14:00Z</dcterms:created>
  <dcterms:modified xsi:type="dcterms:W3CDTF">2024-03-26T16:44:00Z</dcterms:modified>
</cp:coreProperties>
</file>